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24600842" w14:textId="77777777" w:rsidTr="00204109">
        <w:trPr>
          <w:trHeight w:val="282"/>
        </w:trPr>
        <w:tc>
          <w:tcPr>
            <w:tcW w:w="499" w:type="dxa"/>
            <w:vMerge w:val="restart"/>
            <w:tcBorders>
              <w:bottom w:val="nil"/>
            </w:tcBorders>
            <w:textDirection w:val="btLr"/>
            <w:vAlign w:val="center"/>
          </w:tcPr>
          <w:p w14:paraId="30248350"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03CE5554"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s-ES" w:eastAsia="es-ES"/>
              </w:rPr>
              <w:drawing>
                <wp:anchor distT="0" distB="0" distL="114300" distR="114300" simplePos="0" relativeHeight="251664896" behindDoc="1" locked="1" layoutInCell="1" allowOverlap="1" wp14:anchorId="7F04BEBA" wp14:editId="7415E9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DAC3303"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722DB61B"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5EB0169A" w14:textId="77777777" w:rsidR="00041727" w:rsidRPr="00814CC6" w:rsidRDefault="009F5A1D" w:rsidP="00EE3A17">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EE3A17">
              <w:rPr>
                <w:b/>
                <w:color w:val="365F91"/>
              </w:rPr>
              <w:t>5.2</w:t>
            </w:r>
          </w:p>
        </w:tc>
      </w:tr>
      <w:tr w:rsidR="00041727" w:rsidRPr="002C5965" w14:paraId="06FE99B9" w14:textId="77777777" w:rsidTr="00204109">
        <w:trPr>
          <w:trHeight w:val="730"/>
        </w:trPr>
        <w:tc>
          <w:tcPr>
            <w:tcW w:w="499" w:type="dxa"/>
            <w:vMerge/>
            <w:tcBorders>
              <w:bottom w:val="nil"/>
            </w:tcBorders>
          </w:tcPr>
          <w:p w14:paraId="13299E8D"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3EB44125"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2433EB94" w14:textId="77777777" w:rsidR="00041727" w:rsidRPr="002C5965" w:rsidRDefault="00527225" w:rsidP="00BA7E19">
            <w:pPr>
              <w:pStyle w:val="StyleComplexTahomaComplex11ptAccent1RightAfter-"/>
              <w:ind w:right="0"/>
            </w:pPr>
            <w:r>
              <w:t>Presentado por</w:t>
            </w:r>
            <w:r w:rsidR="00041727" w:rsidRPr="002C5965">
              <w:t>:</w:t>
            </w:r>
            <w:r w:rsidR="00041727" w:rsidRPr="002C5965">
              <w:br/>
            </w:r>
            <w:r w:rsidR="00EE3A17">
              <w:rPr>
                <w:bCs/>
                <w:color w:val="365F91"/>
              </w:rPr>
              <w:t>presidente de la SERCOM</w:t>
            </w:r>
          </w:p>
          <w:p w14:paraId="76E15D03" w14:textId="77777777" w:rsidR="00041727" w:rsidRPr="002C5965" w:rsidRDefault="00EE3A17" w:rsidP="00BA7E19">
            <w:pPr>
              <w:pStyle w:val="StyleComplexTahomaComplex11ptAccent1RightAfter-"/>
              <w:ind w:right="0"/>
            </w:pPr>
            <w:r>
              <w:rPr>
                <w:bCs/>
                <w:color w:val="365F91"/>
              </w:rPr>
              <w:t>13</w:t>
            </w:r>
            <w:r w:rsidR="00527225" w:rsidRPr="007F7A32">
              <w:t>.</w:t>
            </w:r>
            <w:r>
              <w:rPr>
                <w:bCs/>
                <w:color w:val="365F91"/>
              </w:rPr>
              <w:t>IX</w:t>
            </w:r>
            <w:r w:rsidR="00A41E35">
              <w:t>.202</w:t>
            </w:r>
            <w:r w:rsidR="003F4786">
              <w:t>2</w:t>
            </w:r>
          </w:p>
          <w:p w14:paraId="3EBA2A89" w14:textId="77777777" w:rsidR="00041727" w:rsidRPr="002C5965" w:rsidRDefault="00CF40BF" w:rsidP="00BA7E19">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705BFA69" w14:textId="77777777" w:rsidR="00C4470F" w:rsidRPr="00514EAC" w:rsidRDefault="001527A3" w:rsidP="00514EAC">
      <w:pPr>
        <w:pStyle w:val="WMOBodyText"/>
        <w:ind w:left="3969" w:hanging="3969"/>
        <w:rPr>
          <w:b/>
          <w:lang w:val="es-ES"/>
        </w:rPr>
      </w:pPr>
      <w:r w:rsidRPr="00514EAC">
        <w:rPr>
          <w:b/>
          <w:lang w:val="es-ES"/>
        </w:rPr>
        <w:t xml:space="preserve">PUNTO </w:t>
      </w:r>
      <w:r w:rsidR="00EE3A17">
        <w:rPr>
          <w:b/>
          <w:lang w:val="es-ES"/>
        </w:rPr>
        <w:t>5</w:t>
      </w:r>
      <w:r w:rsidRPr="00514EAC">
        <w:rPr>
          <w:b/>
          <w:lang w:val="es-ES"/>
        </w:rPr>
        <w:t xml:space="preserve"> DEL ORDEN DEL DÍA:</w:t>
      </w:r>
      <w:r w:rsidR="00A41E35" w:rsidRPr="00514EAC">
        <w:rPr>
          <w:b/>
          <w:lang w:val="es-ES"/>
        </w:rPr>
        <w:tab/>
      </w:r>
      <w:r w:rsidR="00EE3A17">
        <w:rPr>
          <w:b/>
          <w:bCs/>
          <w:lang w:val="es-ES"/>
        </w:rPr>
        <w:t>REGLAMENTO TÉCNICO Y OTRAS CUESTIONES DE CARÁCTER TÉCNICO</w:t>
      </w:r>
    </w:p>
    <w:p w14:paraId="13A294CB" w14:textId="77777777" w:rsidR="001527A3" w:rsidRDefault="001527A3" w:rsidP="00EE3A17">
      <w:pPr>
        <w:pStyle w:val="WMOBodyText"/>
        <w:ind w:left="3969" w:hanging="3969"/>
        <w:rPr>
          <w:b/>
          <w:lang w:val="es-ES"/>
        </w:rPr>
      </w:pPr>
      <w:r w:rsidRPr="001527A3">
        <w:rPr>
          <w:b/>
          <w:lang w:val="es-ES"/>
        </w:rPr>
        <w:t xml:space="preserve">PUNTO </w:t>
      </w:r>
      <w:r w:rsidR="00EE3A17">
        <w:rPr>
          <w:b/>
          <w:bCs/>
          <w:lang w:val="es-ES"/>
        </w:rPr>
        <w:t>5.2</w:t>
      </w:r>
      <w:r w:rsidRPr="001527A3">
        <w:rPr>
          <w:b/>
          <w:lang w:val="es-ES"/>
        </w:rPr>
        <w:t>:</w:t>
      </w:r>
      <w:r w:rsidRPr="001527A3">
        <w:rPr>
          <w:b/>
          <w:lang w:val="es-ES"/>
        </w:rPr>
        <w:tab/>
      </w:r>
      <w:r w:rsidR="00EE3A17">
        <w:rPr>
          <w:b/>
          <w:bCs/>
          <w:lang w:val="es-ES"/>
        </w:rPr>
        <w:t>Estrategia de prestación de servicios de la OMM</w:t>
      </w:r>
    </w:p>
    <w:p w14:paraId="5F32F2F5" w14:textId="77777777" w:rsidR="008E0A57" w:rsidRPr="001527A3" w:rsidRDefault="00EE3A17" w:rsidP="00EE3A17">
      <w:pPr>
        <w:pStyle w:val="Heading1"/>
        <w:rPr>
          <w:lang w:val="es-ES"/>
        </w:rPr>
      </w:pPr>
      <w:r>
        <w:rPr>
          <w:lang w:val="es-ES"/>
        </w:rPr>
        <w:t xml:space="preserve">Estrategia de prestación de servicios de la OMM </w:t>
      </w:r>
    </w:p>
    <w:p w14:paraId="409F7839" w14:textId="77777777" w:rsidR="00BC2C42" w:rsidRPr="004D0B08"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EE3A17" w14:paraId="1C44FE4C" w14:textId="77777777" w:rsidTr="005E31E8">
        <w:trPr>
          <w:jc w:val="center"/>
        </w:trPr>
        <w:tc>
          <w:tcPr>
            <w:tcW w:w="7285" w:type="dxa"/>
          </w:tcPr>
          <w:p w14:paraId="40D3E6AB" w14:textId="77777777" w:rsidR="00BC2C42" w:rsidRPr="00EE3A17" w:rsidRDefault="00BC2C42" w:rsidP="00EE3A17">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tc>
      </w:tr>
      <w:tr w:rsidR="00BC2C42" w:rsidRPr="0099372C" w14:paraId="07289B82" w14:textId="77777777" w:rsidTr="005E31E8">
        <w:trPr>
          <w:jc w:val="center"/>
        </w:trPr>
        <w:tc>
          <w:tcPr>
            <w:tcW w:w="7285" w:type="dxa"/>
          </w:tcPr>
          <w:p w14:paraId="1DDC6AB9" w14:textId="0E1DBCAF" w:rsidR="00BC2C42" w:rsidRPr="004D0B08" w:rsidRDefault="00BC2C42" w:rsidP="005E31E8">
            <w:pPr>
              <w:pStyle w:val="WMOBodyText"/>
              <w:spacing w:before="160"/>
              <w:jc w:val="left"/>
              <w:rPr>
                <w:lang w:val="es-ES"/>
              </w:rPr>
            </w:pPr>
            <w:r w:rsidRPr="004D0B08">
              <w:rPr>
                <w:b/>
                <w:bCs/>
                <w:lang w:val="es-ES"/>
              </w:rPr>
              <w:t>Documento presentado por:</w:t>
            </w:r>
            <w:r w:rsidRPr="004D0B08">
              <w:rPr>
                <w:lang w:val="es-ES"/>
              </w:rPr>
              <w:t xml:space="preserve"> </w:t>
            </w:r>
            <w:r w:rsidR="00EE3A17">
              <w:rPr>
                <w:lang w:val="es-ES"/>
              </w:rPr>
              <w:t xml:space="preserve">El </w:t>
            </w:r>
            <w:r w:rsidR="00481BAB">
              <w:rPr>
                <w:lang w:val="es-ES"/>
              </w:rPr>
              <w:t>p</w:t>
            </w:r>
            <w:r w:rsidR="00EE3A17">
              <w:rPr>
                <w:lang w:val="es-ES"/>
              </w:rPr>
              <w:t xml:space="preserve">residente de la Comisión de Aplicaciones y Servicios Meteorológicos, Climáticos, Hidrológicos y Medioambientales Conexos (SERCOM), en respuesta a la </w:t>
            </w:r>
            <w:hyperlink r:id="rId12" w:history="1">
              <w:r w:rsidR="00EE3A17" w:rsidRPr="00BA5896">
                <w:rPr>
                  <w:rStyle w:val="Hyperlink"/>
                  <w:lang w:val="es-ES"/>
                </w:rPr>
                <w:t>Decisión 10 (EC-70)</w:t>
              </w:r>
            </w:hyperlink>
            <w:r w:rsidR="00EE3A17">
              <w:rPr>
                <w:lang w:val="es-ES"/>
              </w:rPr>
              <w:t xml:space="preserve"> — Guía general sobre prestación de servicios, para elaborar dicha guía con la participación de todas las comisiones técnicas y programas d</w:t>
            </w:r>
            <w:r w:rsidR="00836946">
              <w:rPr>
                <w:lang w:val="es-ES"/>
              </w:rPr>
              <w:t>e la OMM cuyas funciones incluya</w:t>
            </w:r>
            <w:r w:rsidR="00EE3A17">
              <w:rPr>
                <w:lang w:val="es-ES"/>
              </w:rPr>
              <w:t xml:space="preserve">n la prestación de servicios con el fin de someterla a la consideración del Decimonoveno Congreso Meteorológico Mundial.  </w:t>
            </w:r>
          </w:p>
          <w:p w14:paraId="2BF70F21" w14:textId="0EE6DDFB" w:rsidR="00BC2C42" w:rsidRPr="004D0B08" w:rsidRDefault="00BC2C42" w:rsidP="005E31E8">
            <w:pPr>
              <w:pStyle w:val="WMOBodyText"/>
              <w:spacing w:before="160"/>
              <w:jc w:val="left"/>
              <w:rPr>
                <w:b/>
                <w:bCs/>
                <w:lang w:val="es-ES"/>
              </w:rPr>
            </w:pPr>
            <w:r w:rsidRPr="004D0B08">
              <w:rPr>
                <w:b/>
                <w:bCs/>
                <w:lang w:val="es-ES"/>
              </w:rPr>
              <w:t xml:space="preserve">Objetivo estratégico para 2020-2023: </w:t>
            </w:r>
            <w:r w:rsidR="00EE3A17" w:rsidRPr="00EE3A17">
              <w:rPr>
                <w:bCs/>
                <w:lang w:val="es-ES"/>
              </w:rPr>
              <w:t xml:space="preserve">1.4 — </w:t>
            </w:r>
            <w:r w:rsidR="007808B2" w:rsidRPr="007808B2">
              <w:rPr>
                <w:bCs/>
                <w:lang w:val="es-ES"/>
              </w:rPr>
              <w:t>Aumento del valor de la información y los servicios meteorológicos que sustentan la adopción de decisiones y fomento de la innovación en el suministro de ese tipo de información y servicios</w:t>
            </w:r>
            <w:r w:rsidR="00EE3A17" w:rsidRPr="00EE3A17">
              <w:rPr>
                <w:bCs/>
                <w:lang w:val="es-ES"/>
              </w:rPr>
              <w:t xml:space="preserve">.  </w:t>
            </w:r>
          </w:p>
          <w:p w14:paraId="400C2940" w14:textId="77777777" w:rsidR="00BC2C42" w:rsidRPr="004D0B08" w:rsidRDefault="00BC2C42" w:rsidP="005E31E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EE3A17" w:rsidRPr="00EE3A17">
              <w:rPr>
                <w:bCs/>
                <w:lang w:val="es-ES"/>
              </w:rPr>
              <w:t>Dentro de los parámetros del Plan Estratégico y del Plan de Funcionamiento de la OMM para 2020-2023. Se pondrán de manifiesto en el Plan Estratégico y el Plan de Funcionamiento de la OMM para 2024-2027.</w:t>
            </w:r>
          </w:p>
          <w:p w14:paraId="2D9741EF" w14:textId="77777777" w:rsidR="00BC2C42" w:rsidRPr="004D0B08" w:rsidRDefault="00BC2C42" w:rsidP="005E31E8">
            <w:pPr>
              <w:pStyle w:val="WMOBodyText"/>
              <w:spacing w:before="160"/>
              <w:jc w:val="left"/>
              <w:rPr>
                <w:lang w:val="es-ES"/>
              </w:rPr>
            </w:pPr>
            <w:r w:rsidRPr="004D0B08">
              <w:rPr>
                <w:b/>
                <w:bCs/>
                <w:lang w:val="es-ES"/>
              </w:rPr>
              <w:t>Principales encargados de la ejecución:</w:t>
            </w:r>
            <w:r w:rsidRPr="004D0B08">
              <w:rPr>
                <w:lang w:val="es-ES"/>
              </w:rPr>
              <w:t xml:space="preserve"> </w:t>
            </w:r>
            <w:r w:rsidR="00EE3A17" w:rsidRPr="00EE3A17">
              <w:rPr>
                <w:bCs/>
                <w:lang w:val="es-ES"/>
              </w:rPr>
              <w:t xml:space="preserve">Los Miembros de la OMM encargados de prestar servicios meteorológicos, climáticos, hidrológicos y medioambientales se beneficiarán de la actualización de la </w:t>
            </w:r>
            <w:r w:rsidR="00EE3A17" w:rsidRPr="00836946">
              <w:rPr>
                <w:bCs/>
                <w:lang w:val="es-ES"/>
              </w:rPr>
              <w:t>Estrategia de prestación de servicios</w:t>
            </w:r>
            <w:r w:rsidR="00EE3A17" w:rsidRPr="00EE3A17">
              <w:rPr>
                <w:bCs/>
                <w:lang w:val="es-ES"/>
              </w:rPr>
              <w:t>.</w:t>
            </w:r>
          </w:p>
          <w:p w14:paraId="1EC944D1" w14:textId="49DEA1E7" w:rsidR="00BC2C42" w:rsidRPr="004D0B08" w:rsidRDefault="00BC2C42" w:rsidP="005E31E8">
            <w:pPr>
              <w:pStyle w:val="WMOBodyText"/>
              <w:spacing w:before="160"/>
              <w:jc w:val="left"/>
              <w:rPr>
                <w:lang w:val="es-ES"/>
              </w:rPr>
            </w:pPr>
            <w:r w:rsidRPr="004D0B08">
              <w:rPr>
                <w:b/>
                <w:bCs/>
                <w:lang w:val="es-ES"/>
              </w:rPr>
              <w:t>Cronograma:</w:t>
            </w:r>
            <w:r w:rsidRPr="004D0B08">
              <w:rPr>
                <w:lang w:val="es-ES"/>
              </w:rPr>
              <w:t xml:space="preserve"> </w:t>
            </w:r>
            <w:r w:rsidR="002428A5" w:rsidRPr="002428A5">
              <w:rPr>
                <w:lang w:val="es-ES"/>
              </w:rPr>
              <w:t>2023–2033</w:t>
            </w:r>
          </w:p>
          <w:p w14:paraId="2A61DB58" w14:textId="7CF5EBD6" w:rsidR="00BC2C42" w:rsidRPr="004D0B08" w:rsidRDefault="00BC2C42" w:rsidP="00E45656">
            <w:pPr>
              <w:pStyle w:val="WMOBodyText"/>
              <w:spacing w:before="160" w:after="160"/>
              <w:jc w:val="left"/>
              <w:rPr>
                <w:lang w:val="es-ES"/>
              </w:rPr>
            </w:pPr>
            <w:r w:rsidRPr="004D0B08">
              <w:rPr>
                <w:b/>
                <w:bCs/>
                <w:lang w:val="es-ES"/>
              </w:rPr>
              <w:t>Medida prevista:</w:t>
            </w:r>
            <w:r w:rsidRPr="004D0B08">
              <w:rPr>
                <w:lang w:val="es-ES"/>
              </w:rPr>
              <w:t xml:space="preserve"> </w:t>
            </w:r>
            <w:r w:rsidR="00EE3A17" w:rsidRPr="00EE3A17">
              <w:rPr>
                <w:bCs/>
                <w:lang w:val="es-ES"/>
              </w:rPr>
              <w:t xml:space="preserve">Aprobar </w:t>
            </w:r>
            <w:hyperlink w:anchor="_Proyecto_de_Recomendación" w:history="1">
              <w:r w:rsidR="00EE3A17" w:rsidRPr="00BA5896">
                <w:rPr>
                  <w:rStyle w:val="Hyperlink"/>
                  <w:bCs/>
                  <w:lang w:val="es-ES"/>
                </w:rPr>
                <w:t>el proyecto de Recomendación 5.2/1 (SERCOM-2)</w:t>
              </w:r>
            </w:hyperlink>
            <w:r w:rsidR="00EE3A17" w:rsidRPr="00EE3A17">
              <w:rPr>
                <w:bCs/>
                <w:lang w:val="es-ES"/>
              </w:rPr>
              <w:t xml:space="preserve"> en el que se recomienda al Congreso Meteorológico Mundial que </w:t>
            </w:r>
            <w:r w:rsidR="00AF13C2">
              <w:rPr>
                <w:bCs/>
                <w:lang w:val="es-ES"/>
              </w:rPr>
              <w:t>haga suya</w:t>
            </w:r>
            <w:r w:rsidR="00AF13C2" w:rsidRPr="00EE3A17">
              <w:rPr>
                <w:bCs/>
                <w:lang w:val="es-ES"/>
              </w:rPr>
              <w:t xml:space="preserve"> </w:t>
            </w:r>
            <w:r w:rsidR="00EE3A17" w:rsidRPr="00EE3A17">
              <w:rPr>
                <w:bCs/>
                <w:lang w:val="es-ES"/>
              </w:rPr>
              <w:t xml:space="preserve">la publicación de la </w:t>
            </w:r>
            <w:r w:rsidR="00EE3A17" w:rsidRPr="00EE3A17">
              <w:rPr>
                <w:bCs/>
                <w:i/>
                <w:lang w:val="es-ES"/>
              </w:rPr>
              <w:t>Estrategia de prestación de servicios de la OMM</w:t>
            </w:r>
            <w:r w:rsidR="00EE3A17" w:rsidRPr="00EE3A17">
              <w:rPr>
                <w:bCs/>
                <w:lang w:val="es-ES"/>
              </w:rPr>
              <w:t xml:space="preserve"> con la finalidad de actualizar y sustituir la publicación </w:t>
            </w:r>
            <w:hyperlink r:id="rId13" w:history="1">
              <w:r w:rsidR="00EE3A17" w:rsidRPr="00BA5896">
                <w:rPr>
                  <w:rStyle w:val="Hyperlink"/>
                  <w:bCs/>
                  <w:i/>
                  <w:lang w:val="es-ES"/>
                </w:rPr>
                <w:t>La estrategia de prestación de servicios de la OMM y su plan de aplicación</w:t>
              </w:r>
            </w:hyperlink>
            <w:r w:rsidR="00EE3A17" w:rsidRPr="00EE3A17">
              <w:rPr>
                <w:bCs/>
                <w:lang w:val="es-ES"/>
              </w:rPr>
              <w:t xml:space="preserve"> (OMM-Nº 1129).</w:t>
            </w:r>
          </w:p>
        </w:tc>
      </w:tr>
    </w:tbl>
    <w:p w14:paraId="3BE28A37" w14:textId="77777777" w:rsidR="00583EBC" w:rsidRDefault="00583EBC">
      <w:pPr>
        <w:tabs>
          <w:tab w:val="clear" w:pos="1134"/>
        </w:tabs>
        <w:jc w:val="left"/>
        <w:rPr>
          <w:lang w:val="es-ES"/>
        </w:rPr>
      </w:pPr>
      <w:bookmarkStart w:id="0" w:name="_APPENDIX_A:_"/>
      <w:bookmarkEnd w:id="0"/>
    </w:p>
    <w:p w14:paraId="7CDD3E76" w14:textId="77777777" w:rsidR="00BC2C42" w:rsidRPr="004D0B08" w:rsidRDefault="0092449A" w:rsidP="00BC2C42">
      <w:pPr>
        <w:pStyle w:val="Heading1"/>
        <w:rPr>
          <w:lang w:val="es-ES"/>
        </w:rPr>
      </w:pPr>
      <w:r>
        <w:rPr>
          <w:lang w:val="es-ES"/>
        </w:rPr>
        <w:br w:type="page"/>
      </w:r>
      <w:r w:rsidR="00BC2C42" w:rsidRPr="004D0B08">
        <w:rPr>
          <w:lang w:val="es-ES"/>
        </w:rPr>
        <w:lastRenderedPageBreak/>
        <w:t>CONSIDERAcIONeS GENERALES</w:t>
      </w:r>
    </w:p>
    <w:p w14:paraId="4EB236F1" w14:textId="77777777" w:rsidR="00EE3A17" w:rsidRPr="00BA5896" w:rsidRDefault="00EE3A17" w:rsidP="00EE3A17">
      <w:pPr>
        <w:pStyle w:val="WMOBodyText"/>
        <w:rPr>
          <w:b/>
          <w:iCs/>
          <w:lang w:val="es-ES"/>
        </w:rPr>
      </w:pPr>
      <w:r w:rsidRPr="00BA5896">
        <w:rPr>
          <w:b/>
          <w:iCs/>
          <w:lang w:val="es-ES"/>
        </w:rPr>
        <w:t xml:space="preserve">Actualización de la publicación </w:t>
      </w:r>
      <w:r w:rsidRPr="00BA5896">
        <w:rPr>
          <w:b/>
          <w:i/>
          <w:iCs/>
          <w:lang w:val="es-ES"/>
        </w:rPr>
        <w:t>La estrategia de prestación de servicios de la OMM y su plan de aplicación</w:t>
      </w:r>
      <w:r w:rsidRPr="00BA5896">
        <w:rPr>
          <w:b/>
          <w:iCs/>
          <w:lang w:val="es-ES"/>
        </w:rPr>
        <w:t xml:space="preserve"> (OMM-Nº 1129), relativa a la Prestación de Servicios Generales</w:t>
      </w:r>
    </w:p>
    <w:p w14:paraId="25F2A1FB" w14:textId="77777777" w:rsidR="00BC2C42" w:rsidRPr="00BA5896" w:rsidRDefault="00EE3A17" w:rsidP="00BC2C42">
      <w:pPr>
        <w:pStyle w:val="WMOSubTitle1"/>
        <w:rPr>
          <w:bCs/>
          <w:lang w:val="es-ES"/>
        </w:rPr>
      </w:pPr>
      <w:r w:rsidRPr="00BA5896">
        <w:rPr>
          <w:bCs/>
          <w:lang w:val="es-ES"/>
        </w:rPr>
        <w:t xml:space="preserve">Los avances científicos y tecnológicos, así como una mejor comprensión de las repercusiones socioeconómicas de los fenómenos extremos, hacen necesarias nuevas estrategias de prestación de servicios </w:t>
      </w:r>
    </w:p>
    <w:p w14:paraId="683CD945" w14:textId="77777777" w:rsidR="00BC2C42" w:rsidRPr="00EE3A17" w:rsidRDefault="008F1635" w:rsidP="00EE3A17">
      <w:pPr>
        <w:pStyle w:val="WMOBodyText"/>
        <w:numPr>
          <w:ilvl w:val="0"/>
          <w:numId w:val="46"/>
        </w:numPr>
        <w:tabs>
          <w:tab w:val="clear" w:pos="720"/>
        </w:tabs>
        <w:ind w:left="0" w:firstLine="0"/>
      </w:pPr>
      <w:hyperlink r:id="rId14" w:history="1">
        <w:r w:rsidR="00EE3A17">
          <w:t xml:space="preserve">La publicación </w:t>
        </w:r>
        <w:hyperlink r:id="rId15" w:history="1">
          <w:r w:rsidR="00BA5896" w:rsidRPr="00BA5896">
            <w:rPr>
              <w:rStyle w:val="Hyperlink"/>
              <w:bCs/>
              <w:i/>
              <w:lang w:val="es-ES"/>
            </w:rPr>
            <w:t>La estrategia de prestación de servicios de la OMM y su plan de aplicación</w:t>
          </w:r>
        </w:hyperlink>
        <w:r w:rsidR="00EE3A17">
          <w:rPr>
            <w:i/>
            <w:iCs/>
          </w:rPr>
          <w:t xml:space="preserve"> </w:t>
        </w:r>
        <w:r w:rsidR="00EE3A17">
          <w:t>(OMM-Nº 1129)</w:t>
        </w:r>
        <w:r w:rsidR="00EE3A17">
          <w:rPr>
            <w:i/>
            <w:iCs/>
          </w:rPr>
          <w:t xml:space="preserve"> </w:t>
        </w:r>
        <w:r w:rsidR="00EE3A17">
          <w:t>se actualizó por última vez en 2014. El Comité Permanente de Reducción de Riesgos de Desastre y Servicios para el Público (SC-DR</w:t>
        </w:r>
        <w:r w:rsidR="00836946">
          <w:t xml:space="preserve">R) reconoció que gran parte de su </w:t>
        </w:r>
        <w:r w:rsidR="00EE3A17">
          <w:t xml:space="preserve">contenido estaba obsoleto. </w:t>
        </w:r>
        <w:r w:rsidR="00836946">
          <w:t>Por lo tanto, c</w:t>
        </w:r>
        <w:r w:rsidR="00EE3A17">
          <w:t xml:space="preserve">on la ayuda de un consultor de la Organización Meteorológica Mundial (OMM), el SC-DRR ha preparado una importante actualización de la publicación en lo que respecta a su estructura y contenido.  </w:t>
        </w:r>
      </w:hyperlink>
    </w:p>
    <w:p w14:paraId="01682A06" w14:textId="0165778B" w:rsidR="00EE3A17" w:rsidRPr="00EE3A17" w:rsidRDefault="00EE3A17" w:rsidP="00EE3A17">
      <w:pPr>
        <w:pStyle w:val="WMOBodyText"/>
        <w:numPr>
          <w:ilvl w:val="0"/>
          <w:numId w:val="46"/>
        </w:numPr>
        <w:tabs>
          <w:tab w:val="clear" w:pos="720"/>
        </w:tabs>
        <w:ind w:left="0" w:firstLine="0"/>
      </w:pPr>
      <w:r>
        <w:rPr>
          <w:lang w:val="es-ES"/>
        </w:rPr>
        <w:t>La actualización propuesta para 2023</w:t>
      </w:r>
      <w:r w:rsidR="00D74577">
        <w:rPr>
          <w:lang w:val="es-ES"/>
        </w:rPr>
        <w:t>,</w:t>
      </w:r>
      <w:r>
        <w:rPr>
          <w:lang w:val="es-ES"/>
        </w:rPr>
        <w:t xml:space="preserve"> tercera edición de dicha </w:t>
      </w:r>
      <w:proofErr w:type="gramStart"/>
      <w:r>
        <w:rPr>
          <w:lang w:val="es-ES"/>
        </w:rPr>
        <w:t>publicación</w:t>
      </w:r>
      <w:r w:rsidR="00D74577">
        <w:rPr>
          <w:lang w:val="es-ES"/>
        </w:rPr>
        <w:t>,</w:t>
      </w:r>
      <w:proofErr w:type="gramEnd"/>
      <w:r>
        <w:rPr>
          <w:lang w:val="es-ES"/>
        </w:rPr>
        <w:t xml:space="preserve"> proporciona una estrategia a los Miembros de la OMM y a sus Servicios Meteorológicos e Hidrológicos Nacionales (SMHN) en la prestación y la mejora continua de los servicios de valor, la identificación de las principales partes interesadas y asociaciones, las tendencias y los beneficios socioeconómicos. Asimismo, proporciona una hoja de ruta estratégica para la mejora de servicios a nivel nacional, que pone de relieve los sistemas de apoyo de la OMM. La publicación OMM-Nº 1129 complementa a otras guías y directrices de la OMM en la prestación de servicios, por ejemplo:</w:t>
      </w:r>
      <w:r w:rsidR="00836946">
        <w:rPr>
          <w:lang w:val="es-ES"/>
        </w:rPr>
        <w:t xml:space="preserve"> la</w:t>
      </w:r>
      <w:r>
        <w:rPr>
          <w:lang w:val="es-ES"/>
        </w:rPr>
        <w:t xml:space="preserve"> </w:t>
      </w:r>
      <w:hyperlink r:id="rId16" w:history="1">
        <w:r w:rsidRPr="00BA5896">
          <w:rPr>
            <w:rStyle w:val="Hyperlink"/>
            <w:i/>
            <w:iCs/>
            <w:lang w:val="es-ES"/>
          </w:rPr>
          <w:t>Guía para la aplicación de un sistema de gestión de la calidad para Servicios Meteorológicos e Hidrológicos Nacionales y otros proveedores de servicios pertinentes</w:t>
        </w:r>
      </w:hyperlink>
      <w:r>
        <w:rPr>
          <w:lang w:val="es-ES"/>
        </w:rPr>
        <w:t xml:space="preserve"> (OMM-Nº 1100), </w:t>
      </w:r>
      <w:r w:rsidR="00836946">
        <w:rPr>
          <w:lang w:val="es-ES"/>
        </w:rPr>
        <w:t xml:space="preserve">las </w:t>
      </w:r>
      <w:hyperlink r:id="rId17" w:history="1">
        <w:r w:rsidRPr="00BA5896">
          <w:rPr>
            <w:rStyle w:val="Hyperlink"/>
            <w:i/>
            <w:iCs/>
            <w:lang w:val="es-ES"/>
          </w:rPr>
          <w:t>Directrices detalladas para la creación de un marco nacional para los servicios climáticos</w:t>
        </w:r>
      </w:hyperlink>
      <w:r>
        <w:rPr>
          <w:i/>
          <w:iCs/>
          <w:lang w:val="es-ES"/>
        </w:rPr>
        <w:t xml:space="preserve"> </w:t>
      </w:r>
      <w:r>
        <w:rPr>
          <w:lang w:val="es-ES"/>
        </w:rPr>
        <w:t>(OMM-Nº 1206)</w:t>
      </w:r>
      <w:r>
        <w:rPr>
          <w:i/>
          <w:iCs/>
          <w:lang w:val="es-ES"/>
        </w:rPr>
        <w:t>,</w:t>
      </w:r>
      <w:r w:rsidR="00836946">
        <w:rPr>
          <w:i/>
          <w:iCs/>
          <w:lang w:val="es-ES"/>
        </w:rPr>
        <w:t xml:space="preserve"> </w:t>
      </w:r>
      <w:r w:rsidR="00836946" w:rsidRPr="00836946">
        <w:rPr>
          <w:iCs/>
          <w:lang w:val="es-ES"/>
        </w:rPr>
        <w:t>la publicación</w:t>
      </w:r>
      <w:r>
        <w:rPr>
          <w:i/>
          <w:iCs/>
          <w:lang w:val="es-ES"/>
        </w:rPr>
        <w:t xml:space="preserve"> </w:t>
      </w:r>
      <w:hyperlink r:id="rId18" w:history="1">
        <w:proofErr w:type="spellStart"/>
        <w:r w:rsidRPr="00BA5896">
          <w:rPr>
            <w:rStyle w:val="Hyperlink"/>
            <w:i/>
            <w:iCs/>
            <w:lang w:val="es-ES"/>
          </w:rPr>
          <w:t>Compendium</w:t>
        </w:r>
        <w:proofErr w:type="spellEnd"/>
        <w:r w:rsidRPr="00BA5896">
          <w:rPr>
            <w:rStyle w:val="Hyperlink"/>
            <w:i/>
            <w:iCs/>
            <w:lang w:val="es-ES"/>
          </w:rPr>
          <w:t xml:space="preserve"> </w:t>
        </w:r>
        <w:proofErr w:type="spellStart"/>
        <w:r w:rsidRPr="00BA5896">
          <w:rPr>
            <w:rStyle w:val="Hyperlink"/>
            <w:i/>
            <w:iCs/>
            <w:lang w:val="es-ES"/>
          </w:rPr>
          <w:t>of</w:t>
        </w:r>
        <w:proofErr w:type="spellEnd"/>
        <w:r w:rsidRPr="00BA5896">
          <w:rPr>
            <w:rStyle w:val="Hyperlink"/>
            <w:i/>
            <w:iCs/>
            <w:lang w:val="es-ES"/>
          </w:rPr>
          <w:t xml:space="preserve"> WMO </w:t>
        </w:r>
        <w:proofErr w:type="spellStart"/>
        <w:r w:rsidRPr="00BA5896">
          <w:rPr>
            <w:rStyle w:val="Hyperlink"/>
            <w:i/>
            <w:iCs/>
            <w:lang w:val="es-ES"/>
          </w:rPr>
          <w:t>Competency</w:t>
        </w:r>
        <w:proofErr w:type="spellEnd"/>
        <w:r w:rsidRPr="00BA5896">
          <w:rPr>
            <w:rStyle w:val="Hyperlink"/>
            <w:i/>
            <w:iCs/>
            <w:lang w:val="es-ES"/>
          </w:rPr>
          <w:t xml:space="preserve"> </w:t>
        </w:r>
        <w:proofErr w:type="spellStart"/>
        <w:r w:rsidRPr="00BA5896">
          <w:rPr>
            <w:rStyle w:val="Hyperlink"/>
            <w:i/>
            <w:iCs/>
            <w:lang w:val="es-ES"/>
          </w:rPr>
          <w:t>Frameworks</w:t>
        </w:r>
        <w:proofErr w:type="spellEnd"/>
      </w:hyperlink>
      <w:r>
        <w:rPr>
          <w:i/>
          <w:iCs/>
          <w:lang w:val="es-ES"/>
        </w:rPr>
        <w:t xml:space="preserve"> </w:t>
      </w:r>
      <w:r>
        <w:rPr>
          <w:lang w:val="es-ES"/>
        </w:rPr>
        <w:t>(WMO-No. 1209) (Compendio de marcos de competencias de la OMM),</w:t>
      </w:r>
      <w:r w:rsidR="00836946">
        <w:rPr>
          <w:lang w:val="es-ES"/>
        </w:rPr>
        <w:t xml:space="preserve"> las</w:t>
      </w:r>
      <w:r>
        <w:rPr>
          <w:lang w:val="es-ES"/>
        </w:rPr>
        <w:t xml:space="preserve"> </w:t>
      </w:r>
      <w:hyperlink r:id="rId19" w:history="1">
        <w:r w:rsidRPr="00BA5896">
          <w:rPr>
            <w:rStyle w:val="Hyperlink"/>
            <w:i/>
            <w:iCs/>
            <w:lang w:val="es-ES"/>
          </w:rPr>
          <w:t>Directrices de la OMM sobre servicios de predicción y aviso multirriesgos que tienen en cuenta los impactos</w:t>
        </w:r>
      </w:hyperlink>
      <w:r>
        <w:rPr>
          <w:lang w:val="es-ES"/>
        </w:rPr>
        <w:t xml:space="preserve"> (OMM-Nº 1150),</w:t>
      </w:r>
      <w:r w:rsidR="00836946">
        <w:rPr>
          <w:lang w:val="es-ES"/>
        </w:rPr>
        <w:t xml:space="preserve"> las</w:t>
      </w:r>
      <w:r>
        <w:rPr>
          <w:lang w:val="es-ES"/>
        </w:rPr>
        <w:t xml:space="preserve"> </w:t>
      </w:r>
      <w:hyperlink r:id="rId20" w:history="1">
        <w:r w:rsidRPr="00BA5896">
          <w:rPr>
            <w:rStyle w:val="Hyperlink"/>
            <w:i/>
            <w:iCs/>
            <w:lang w:val="es-ES"/>
          </w:rPr>
          <w:t>Directrices de la Organización Meteorológica Mundial sobre los servicios de predicción y aviso de peligros múltiples que tienen en cuenta los impactos (OMM-N° 1150), Parte II: Aplicación práctica de los servicios de predicción y aviso de peligros múltiples que tienen en cuenta los impactos</w:t>
        </w:r>
      </w:hyperlink>
      <w:r>
        <w:rPr>
          <w:lang w:val="es-ES"/>
        </w:rPr>
        <w:t xml:space="preserve"> (OMM-Nº 1150, Parte II), </w:t>
      </w:r>
      <w:r w:rsidR="00836946">
        <w:rPr>
          <w:lang w:val="es-ES"/>
        </w:rPr>
        <w:t xml:space="preserve">la publicación </w:t>
      </w:r>
      <w:hyperlink r:id="rId21" w:history="1">
        <w:r w:rsidRPr="00BA5896">
          <w:rPr>
            <w:rStyle w:val="Hyperlink"/>
            <w:i/>
            <w:iCs/>
            <w:lang w:val="es-ES"/>
          </w:rPr>
          <w:t>El valor del tiempo y el clima: evaluación económica de los servicios meteorológicos e hidrológicos</w:t>
        </w:r>
      </w:hyperlink>
      <w:r w:rsidR="00836946">
        <w:rPr>
          <w:lang w:val="es-ES"/>
        </w:rPr>
        <w:t xml:space="preserve"> (OMM-Nº 1153) y la publicación</w:t>
      </w:r>
      <w:r>
        <w:rPr>
          <w:lang w:val="es-ES"/>
        </w:rPr>
        <w:t xml:space="preserve"> </w:t>
      </w:r>
      <w:hyperlink r:id="rId22" w:history="1">
        <w:r w:rsidRPr="00BA5896">
          <w:rPr>
            <w:rStyle w:val="Hyperlink"/>
            <w:i/>
            <w:lang w:val="es-ES"/>
          </w:rPr>
          <w:t>I</w:t>
        </w:r>
        <w:r w:rsidRPr="00BA5896">
          <w:rPr>
            <w:rStyle w:val="Hyperlink"/>
            <w:i/>
            <w:iCs/>
            <w:lang w:val="es-ES"/>
          </w:rPr>
          <w:t>ndicadores climáticos y desarrollo sostenible. Las interconexiones al descubierto</w:t>
        </w:r>
      </w:hyperlink>
      <w:r>
        <w:rPr>
          <w:i/>
          <w:iCs/>
          <w:lang w:val="es-ES"/>
        </w:rPr>
        <w:t xml:space="preserve"> </w:t>
      </w:r>
      <w:r>
        <w:rPr>
          <w:lang w:val="es-ES"/>
        </w:rPr>
        <w:t xml:space="preserve">(OMM-Nº 1271). </w:t>
      </w:r>
    </w:p>
    <w:p w14:paraId="1420E89F" w14:textId="66DA5594" w:rsidR="00EE3A17" w:rsidRPr="00E91342" w:rsidRDefault="00AD78A4" w:rsidP="00EE3A17">
      <w:pPr>
        <w:pStyle w:val="WMOBodyText"/>
        <w:numPr>
          <w:ilvl w:val="0"/>
          <w:numId w:val="46"/>
        </w:numPr>
        <w:tabs>
          <w:tab w:val="clear" w:pos="720"/>
        </w:tabs>
        <w:ind w:left="0" w:firstLine="0"/>
      </w:pPr>
      <w:r>
        <w:rPr>
          <w:lang w:val="es-ES"/>
        </w:rPr>
        <w:t xml:space="preserve">En </w:t>
      </w:r>
      <w:r w:rsidR="00EE3A17">
        <w:rPr>
          <w:lang w:val="es-ES"/>
        </w:rPr>
        <w:t xml:space="preserve">la </w:t>
      </w:r>
      <w:hyperlink r:id="rId23" w:history="1">
        <w:r w:rsidR="00EE3A17" w:rsidRPr="00BA5896">
          <w:rPr>
            <w:rStyle w:val="Hyperlink"/>
            <w:lang w:val="es-ES"/>
          </w:rPr>
          <w:t>Resolución 7 (Cg-18)</w:t>
        </w:r>
      </w:hyperlink>
      <w:r w:rsidR="00EE3A17">
        <w:rPr>
          <w:lang w:val="es-ES"/>
        </w:rPr>
        <w:t xml:space="preserve"> — Establecimiento de las comisiones técnicas de la Organización Meteorológica Mundial para el decimoctavo período financiero, </w:t>
      </w:r>
      <w:r w:rsidR="001120D8">
        <w:rPr>
          <w:lang w:val="es-ES"/>
        </w:rPr>
        <w:t xml:space="preserve">el </w:t>
      </w:r>
      <w:r w:rsidR="00EE3A17">
        <w:rPr>
          <w:lang w:val="es-ES"/>
        </w:rPr>
        <w:t xml:space="preserve">mandato de la SERCOM, y la </w:t>
      </w:r>
      <w:hyperlink r:id="rId24" w:history="1">
        <w:r w:rsidR="00EE3A17" w:rsidRPr="00D52029">
          <w:rPr>
            <w:rStyle w:val="Hyperlink"/>
            <w:lang w:val="es-ES"/>
          </w:rPr>
          <w:t>Resolución 1 (SERCOM-1)</w:t>
        </w:r>
      </w:hyperlink>
      <w:r w:rsidR="00EE3A17">
        <w:rPr>
          <w:lang w:val="es-ES"/>
        </w:rPr>
        <w:t xml:space="preserve"> — Establecimiento de los comités permanentes y los grupos de estudio de la Comisión de Aplicaciones y Servicios Meteorológicos, Climáticos, Hidrológicos y Medioambientales Conexos —en el marco de los resultados de</w:t>
      </w:r>
      <w:r w:rsidR="00A25AF5">
        <w:rPr>
          <w:lang w:val="es-ES"/>
        </w:rPr>
        <w:t>l</w:t>
      </w:r>
      <w:r w:rsidR="00EE3A17">
        <w:rPr>
          <w:lang w:val="es-ES"/>
        </w:rPr>
        <w:t xml:space="preserve"> mandato del SC-DRR—, ambos órganos integrantes respaldaron la importante actualización de la publicación OMM-Nº 1129.</w:t>
      </w:r>
    </w:p>
    <w:p w14:paraId="4D88D755" w14:textId="0A67A4D9" w:rsidR="00EE3A17" w:rsidRPr="00E91342" w:rsidRDefault="00EE3A17" w:rsidP="00EE3A17">
      <w:pPr>
        <w:pStyle w:val="WMOBodyText"/>
        <w:numPr>
          <w:ilvl w:val="0"/>
          <w:numId w:val="46"/>
        </w:numPr>
        <w:tabs>
          <w:tab w:val="clear" w:pos="720"/>
        </w:tabs>
        <w:ind w:left="0" w:firstLine="0"/>
      </w:pPr>
      <w:r>
        <w:rPr>
          <w:lang w:val="es-ES"/>
        </w:rPr>
        <w:t xml:space="preserve">El Consejo Ejecutivo, en su Decisión 22 (EC-75), incluyó el examen de </w:t>
      </w:r>
      <w:hyperlink r:id="rId25" w:history="1">
        <w:r w:rsidR="00D52029" w:rsidRPr="00BA5896">
          <w:rPr>
            <w:rStyle w:val="Hyperlink"/>
            <w:bCs/>
            <w:i/>
            <w:lang w:val="es-ES"/>
          </w:rPr>
          <w:t>La estrategia de prestación de servicios de la OMM y su plan de aplicación</w:t>
        </w:r>
      </w:hyperlink>
      <w:r>
        <w:rPr>
          <w:i/>
          <w:iCs/>
          <w:lang w:val="es-ES"/>
        </w:rPr>
        <w:t xml:space="preserve"> </w:t>
      </w:r>
      <w:r>
        <w:rPr>
          <w:lang w:val="es-ES"/>
        </w:rPr>
        <w:t xml:space="preserve">(OMM-Nº 1129) en la lista preliminar de puntos del orden del día de su 76ª reunión, que podrá revisarse sobre la base de las recomendaciones formuladas en las reuniones de los órganos de la OMM. Dada la importancia que tiene para los Miembros la actualización de la </w:t>
      </w:r>
      <w:r>
        <w:rPr>
          <w:i/>
          <w:iCs/>
          <w:lang w:val="es-ES"/>
        </w:rPr>
        <w:t>Estrategia de prestación de servicios de la OMM</w:t>
      </w:r>
      <w:r>
        <w:rPr>
          <w:lang w:val="es-ES"/>
        </w:rPr>
        <w:t>, la Comisión recomienda que sea el Congreso Meteorológico Mundial el que la examine.</w:t>
      </w:r>
      <w:bookmarkStart w:id="1" w:name="_Hlk113872467"/>
      <w:bookmarkStart w:id="2" w:name="_Hlk113282487"/>
      <w:bookmarkEnd w:id="1"/>
      <w:bookmarkEnd w:id="2"/>
    </w:p>
    <w:p w14:paraId="15B9A65F" w14:textId="77777777" w:rsidR="00EE3A17" w:rsidRPr="00E91342" w:rsidRDefault="00EE3A17" w:rsidP="00EE3A17">
      <w:pPr>
        <w:pStyle w:val="WMOBodyText"/>
        <w:numPr>
          <w:ilvl w:val="0"/>
          <w:numId w:val="46"/>
        </w:numPr>
        <w:tabs>
          <w:tab w:val="clear" w:pos="720"/>
        </w:tabs>
        <w:ind w:left="0" w:firstLine="0"/>
      </w:pPr>
      <w:r>
        <w:rPr>
          <w:lang w:val="es-ES"/>
        </w:rPr>
        <w:t xml:space="preserve">Habida cuenta de lo anterior, se invita a la Comisión a aprobar el proyecto de Recomendación 5.2/1 (SERCOM-2). </w:t>
      </w:r>
    </w:p>
    <w:p w14:paraId="0E303513" w14:textId="77777777" w:rsidR="00BC2C42" w:rsidRPr="004D0B08" w:rsidRDefault="00BC2C42" w:rsidP="00BC2C42">
      <w:pPr>
        <w:pStyle w:val="WMOBodyText"/>
        <w:tabs>
          <w:tab w:val="left" w:pos="567"/>
        </w:tabs>
        <w:ind w:hanging="11"/>
        <w:rPr>
          <w:lang w:val="es-ES"/>
        </w:rPr>
      </w:pPr>
    </w:p>
    <w:p w14:paraId="6A70D3F8" w14:textId="77777777" w:rsidR="0020095E" w:rsidRPr="00514EAC" w:rsidRDefault="00514EAC" w:rsidP="001D3CFB">
      <w:pPr>
        <w:pStyle w:val="Heading1"/>
        <w:rPr>
          <w:lang w:val="es-ES"/>
        </w:rPr>
      </w:pPr>
      <w:bookmarkStart w:id="3" w:name="_Annex_to_Draft_2"/>
      <w:bookmarkStart w:id="4" w:name="_Annex_to_Draft"/>
      <w:bookmarkEnd w:id="3"/>
      <w:bookmarkEnd w:id="4"/>
      <w:r w:rsidRPr="00514EAC">
        <w:rPr>
          <w:lang w:val="es-ES"/>
        </w:rPr>
        <w:lastRenderedPageBreak/>
        <w:t>PROYECTO DE RECOMENDACIÓN</w:t>
      </w:r>
    </w:p>
    <w:p w14:paraId="0580C889" w14:textId="77777777" w:rsidR="00BB0D32" w:rsidRPr="00514EAC" w:rsidRDefault="00514EAC" w:rsidP="001D3CFB">
      <w:pPr>
        <w:pStyle w:val="Heading2"/>
        <w:rPr>
          <w:lang w:val="es-ES"/>
        </w:rPr>
      </w:pPr>
      <w:bookmarkStart w:id="5" w:name="_DRAFT_RESOLUTION_4.2/1_(EC-64)_-_PU"/>
      <w:bookmarkStart w:id="6" w:name="_DRAFT_RESOLUTION_X.X/1"/>
      <w:bookmarkStart w:id="7" w:name="_Proyecto_de_Recomendación"/>
      <w:bookmarkStart w:id="8" w:name="_Toc319327010"/>
      <w:bookmarkEnd w:id="5"/>
      <w:bookmarkEnd w:id="6"/>
      <w:bookmarkEnd w:id="7"/>
      <w:r w:rsidRPr="00255DF7">
        <w:t xml:space="preserve">Proyecto de Recomendación </w:t>
      </w:r>
      <w:r w:rsidR="00D86A6B">
        <w:rPr>
          <w:lang w:val="es-ES"/>
        </w:rPr>
        <w:t xml:space="preserve">5.2/1 </w:t>
      </w:r>
      <w:r w:rsidR="00A41E35" w:rsidRPr="00514EAC">
        <w:rPr>
          <w:lang w:val="es-ES"/>
        </w:rPr>
        <w:t>(</w:t>
      </w:r>
      <w:r w:rsidR="009F5A1D">
        <w:rPr>
          <w:lang w:val="es-ES"/>
        </w:rPr>
        <w:t>SERCOM-2</w:t>
      </w:r>
      <w:r w:rsidR="00A41E35" w:rsidRPr="00514EAC">
        <w:rPr>
          <w:lang w:val="es-ES"/>
        </w:rPr>
        <w:t>)</w:t>
      </w:r>
    </w:p>
    <w:p w14:paraId="3899D16A" w14:textId="77777777" w:rsidR="00A135AE" w:rsidRPr="00D86A6B" w:rsidRDefault="00D86A6B" w:rsidP="00D52029">
      <w:pPr>
        <w:pStyle w:val="Heading2"/>
        <w:jc w:val="left"/>
      </w:pPr>
      <w:bookmarkStart w:id="9" w:name="_Title_of_the"/>
      <w:bookmarkStart w:id="10" w:name="_Actualización_de_la"/>
      <w:bookmarkEnd w:id="8"/>
      <w:bookmarkEnd w:id="9"/>
      <w:bookmarkEnd w:id="10"/>
      <w:r w:rsidRPr="00D86A6B">
        <w:t xml:space="preserve">Actualización de la publicación </w:t>
      </w:r>
      <w:r w:rsidRPr="00D86A6B">
        <w:rPr>
          <w:i/>
        </w:rPr>
        <w:t>La estrategia d</w:t>
      </w:r>
      <w:r w:rsidR="00D52029">
        <w:rPr>
          <w:i/>
        </w:rPr>
        <w:t xml:space="preserve">e prestación de servicios de la </w:t>
      </w:r>
      <w:r w:rsidRPr="00D86A6B">
        <w:rPr>
          <w:i/>
        </w:rPr>
        <w:t>OMM y su plan de aplicación</w:t>
      </w:r>
      <w:r w:rsidRPr="00D86A6B">
        <w:t xml:space="preserve"> (OMM-Nº 1129)</w:t>
      </w:r>
    </w:p>
    <w:p w14:paraId="00039858" w14:textId="77777777" w:rsidR="0020095E" w:rsidRPr="002C5965" w:rsidRDefault="007D650E" w:rsidP="005B5F3C">
      <w:pPr>
        <w:pStyle w:val="WMOBodyText"/>
      </w:pPr>
      <w:r>
        <w:t>LA COMISIÓN DE APLICACIONES Y SERVICIOS METEOROLÓGICOS, CLIMÁTICOS, HIDROLÓGICOS Y MEDIOAMBIENTALES CONEXOS</w:t>
      </w:r>
      <w:r w:rsidR="006B5518">
        <w:t xml:space="preserve"> (SERCOM)</w:t>
      </w:r>
      <w:r w:rsidR="0020095E" w:rsidRPr="002C5965">
        <w:t>,</w:t>
      </w:r>
    </w:p>
    <w:p w14:paraId="24F80A5D" w14:textId="77777777" w:rsidR="00514EAC" w:rsidRPr="007F7A32" w:rsidRDefault="00514EAC" w:rsidP="00514EAC">
      <w:pPr>
        <w:pStyle w:val="WMOBodyText"/>
      </w:pPr>
      <w:r w:rsidRPr="007F7A32">
        <w:rPr>
          <w:b/>
        </w:rPr>
        <w:t>Recordando</w:t>
      </w:r>
      <w:r w:rsidRPr="007F7A32">
        <w:rPr>
          <w:bCs/>
        </w:rPr>
        <w:t xml:space="preserve"> </w:t>
      </w:r>
      <w:r w:rsidR="00D86A6B" w:rsidRPr="00D86A6B">
        <w:t xml:space="preserve">la </w:t>
      </w:r>
      <w:hyperlink r:id="rId26" w:history="1">
        <w:r w:rsidR="00D86A6B" w:rsidRPr="00D52029">
          <w:rPr>
            <w:rStyle w:val="Hyperlink"/>
          </w:rPr>
          <w:t>Decisión 10 (EC-70)</w:t>
        </w:r>
      </w:hyperlink>
      <w:r w:rsidR="00D86A6B" w:rsidRPr="00D86A6B">
        <w:t xml:space="preserve"> — Guía general sobre prestació</w:t>
      </w:r>
      <w:r w:rsidR="00D86A6B">
        <w:t>n de servicios</w:t>
      </w:r>
      <w:r w:rsidRPr="00D86A6B">
        <w:t>,</w:t>
      </w:r>
    </w:p>
    <w:p w14:paraId="5AB25393" w14:textId="03AC9BE4" w:rsidR="00514EAC" w:rsidRPr="007F7A32" w:rsidRDefault="00514EAC" w:rsidP="00514EAC">
      <w:pPr>
        <w:pStyle w:val="WMOBodyText"/>
      </w:pPr>
      <w:r w:rsidRPr="007F7A32">
        <w:rPr>
          <w:b/>
        </w:rPr>
        <w:t>Teniendo en cuenta</w:t>
      </w:r>
      <w:r w:rsidRPr="007F7A32">
        <w:t xml:space="preserve"> </w:t>
      </w:r>
      <w:r w:rsidR="00D86A6B">
        <w:rPr>
          <w:lang w:val="es-ES"/>
        </w:rPr>
        <w:t xml:space="preserve">la importancia de contar con una estrategia fiable y actualizada </w:t>
      </w:r>
      <w:r w:rsidR="008808A4">
        <w:rPr>
          <w:lang w:val="es-ES"/>
        </w:rPr>
        <w:t xml:space="preserve">que permita </w:t>
      </w:r>
      <w:r w:rsidR="00D86A6B">
        <w:rPr>
          <w:lang w:val="es-ES"/>
        </w:rPr>
        <w:t>ayudar a los Miembros de la OMM y a sus SMHN en la aplicación de normas, prácticas recomendadas, procedimientos y políticas a escala internacional</w:t>
      </w:r>
      <w:r w:rsidRPr="007F7A32">
        <w:t>,</w:t>
      </w:r>
    </w:p>
    <w:p w14:paraId="063D0223" w14:textId="77777777" w:rsidR="00A135AE" w:rsidRDefault="00D86A6B" w:rsidP="00D86A6B">
      <w:pPr>
        <w:pStyle w:val="WMOBodyText"/>
      </w:pPr>
      <w:r w:rsidRPr="00D86A6B">
        <w:rPr>
          <w:b/>
        </w:rPr>
        <w:t xml:space="preserve">Reconociendo </w:t>
      </w:r>
      <w:r w:rsidRPr="00D86A6B">
        <w:t xml:space="preserve">que </w:t>
      </w:r>
      <w:hyperlink r:id="rId27" w:history="1">
        <w:r w:rsidR="00D52029" w:rsidRPr="00BA5896">
          <w:rPr>
            <w:rStyle w:val="Hyperlink"/>
            <w:bCs/>
            <w:i/>
            <w:lang w:val="es-ES"/>
          </w:rPr>
          <w:t>La estrategia de prestación de servicios de la OMM y su plan de aplicación</w:t>
        </w:r>
      </w:hyperlink>
      <w:r w:rsidR="00D52029" w:rsidRPr="00D86A6B">
        <w:t xml:space="preserve"> </w:t>
      </w:r>
      <w:r w:rsidRPr="00D86A6B">
        <w:t>(OMM-Nº 1129) se actualizó por última vez en 2014 y, por tanto, se considera obsoleta</w:t>
      </w:r>
      <w:r w:rsidR="00A135AE">
        <w:t>,</w:t>
      </w:r>
    </w:p>
    <w:p w14:paraId="6D87BEB2" w14:textId="77777777" w:rsidR="00D86A6B" w:rsidRDefault="00D86A6B" w:rsidP="00D86A6B">
      <w:pPr>
        <w:pStyle w:val="WMOBodyText"/>
        <w:rPr>
          <w:i/>
          <w:iCs/>
          <w:lang w:val="es-ES"/>
        </w:rPr>
      </w:pPr>
      <w:r>
        <w:rPr>
          <w:b/>
          <w:bCs/>
          <w:lang w:val="es-ES"/>
        </w:rPr>
        <w:t>Habiendo examinado</w:t>
      </w:r>
      <w:r>
        <w:rPr>
          <w:lang w:val="es-ES"/>
        </w:rPr>
        <w:t xml:space="preserve"> la actualización de </w:t>
      </w:r>
      <w:r>
        <w:rPr>
          <w:i/>
          <w:iCs/>
          <w:lang w:val="es-ES"/>
        </w:rPr>
        <w:t xml:space="preserve">La estrategia de prestación de servicios de la OMM y su plan de aplicación </w:t>
      </w:r>
      <w:r>
        <w:rPr>
          <w:lang w:val="es-ES"/>
        </w:rPr>
        <w:t xml:space="preserve">elaborada por el SC-DRR, que pasa a ser la </w:t>
      </w:r>
      <w:r>
        <w:rPr>
          <w:i/>
          <w:iCs/>
          <w:lang w:val="es-ES"/>
        </w:rPr>
        <w:t>Estrategia de prestación de servicios de la OMM,</w:t>
      </w:r>
    </w:p>
    <w:p w14:paraId="0BABA588" w14:textId="19341A3A" w:rsidR="00D86A6B" w:rsidRPr="00D86A6B" w:rsidRDefault="00D86A6B" w:rsidP="00D86A6B">
      <w:pPr>
        <w:pStyle w:val="WMOBodyText"/>
        <w:rPr>
          <w:b/>
          <w:lang w:val="es-ES"/>
        </w:rPr>
      </w:pPr>
      <w:r w:rsidRPr="00D86A6B">
        <w:rPr>
          <w:b/>
          <w:lang w:val="es-ES"/>
        </w:rPr>
        <w:t xml:space="preserve">Recordando </w:t>
      </w:r>
      <w:r w:rsidRPr="00D86A6B">
        <w:rPr>
          <w:lang w:val="es-ES"/>
        </w:rPr>
        <w:t>que el Consejo Ejecutivo, en su Decisión 22 (</w:t>
      </w:r>
      <w:r w:rsidR="00EE2926">
        <w:rPr>
          <w:lang w:val="es-ES"/>
        </w:rPr>
        <w:t>EC</w:t>
      </w:r>
      <w:r w:rsidRPr="00D86A6B">
        <w:rPr>
          <w:lang w:val="es-ES"/>
        </w:rPr>
        <w:t xml:space="preserve">-75), incluyó la publicación </w:t>
      </w:r>
      <w:r w:rsidR="008F1635">
        <w:rPr>
          <w:lang w:val="es-ES"/>
        </w:rPr>
        <w:br/>
      </w:r>
      <w:r w:rsidRPr="00D86A6B">
        <w:rPr>
          <w:lang w:val="es-ES"/>
        </w:rPr>
        <w:t>OMM-</w:t>
      </w:r>
      <w:proofErr w:type="spellStart"/>
      <w:r w:rsidRPr="00D86A6B">
        <w:rPr>
          <w:lang w:val="es-ES"/>
        </w:rPr>
        <w:t>Nº</w:t>
      </w:r>
      <w:proofErr w:type="spellEnd"/>
      <w:r w:rsidRPr="00D86A6B">
        <w:rPr>
          <w:lang w:val="es-ES"/>
        </w:rPr>
        <w:t xml:space="preserve"> 1129 en la lista preliminar de puntos del orden del día de su 76ª reunión —que podrá revisarse sobre la base de las recomendaciones formuladas en las reuniones de los órganos</w:t>
      </w:r>
      <w:r w:rsidR="00FA5165">
        <w:rPr>
          <w:lang w:val="es-ES"/>
        </w:rPr>
        <w:t xml:space="preserve"> integrantes</w:t>
      </w:r>
      <w:r w:rsidRPr="00D86A6B">
        <w:rPr>
          <w:lang w:val="es-ES"/>
        </w:rPr>
        <w:t xml:space="preserve"> de la OMM —, pero </w:t>
      </w:r>
      <w:r w:rsidRPr="00D86A6B">
        <w:rPr>
          <w:b/>
          <w:lang w:val="es-ES"/>
        </w:rPr>
        <w:t>convencido</w:t>
      </w:r>
      <w:r w:rsidRPr="00D86A6B">
        <w:rPr>
          <w:lang w:val="es-ES"/>
        </w:rPr>
        <w:t xml:space="preserve"> de la importancia de que todos los Miembros de la </w:t>
      </w:r>
      <w:r w:rsidR="00CB294E">
        <w:rPr>
          <w:lang w:val="es-ES"/>
        </w:rPr>
        <w:t>Organización</w:t>
      </w:r>
      <w:r w:rsidR="00CB294E" w:rsidRPr="00D86A6B">
        <w:rPr>
          <w:lang w:val="es-ES"/>
        </w:rPr>
        <w:t xml:space="preserve"> </w:t>
      </w:r>
      <w:r w:rsidRPr="00D86A6B">
        <w:rPr>
          <w:lang w:val="es-ES"/>
        </w:rPr>
        <w:t xml:space="preserve">examinen la </w:t>
      </w:r>
      <w:r w:rsidRPr="00D86A6B">
        <w:rPr>
          <w:i/>
          <w:lang w:val="es-ES"/>
        </w:rPr>
        <w:t>Estrategia de prestación de servicios de la OMM</w:t>
      </w:r>
      <w:r w:rsidRPr="00D86A6B">
        <w:rPr>
          <w:lang w:val="es-ES"/>
        </w:rPr>
        <w:t xml:space="preserve"> actualizada</w:t>
      </w:r>
      <w:r w:rsidRPr="00D86A6B">
        <w:rPr>
          <w:b/>
          <w:lang w:val="es-ES"/>
        </w:rPr>
        <w:t>,</w:t>
      </w:r>
    </w:p>
    <w:p w14:paraId="52FA176A" w14:textId="77777777" w:rsidR="00CF40BF" w:rsidRPr="00D86A6B" w:rsidRDefault="00D86A6B" w:rsidP="00CF40BF">
      <w:pPr>
        <w:pStyle w:val="WMOBodyText"/>
        <w:rPr>
          <w:bCs/>
        </w:rPr>
      </w:pPr>
      <w:r w:rsidRPr="00D86A6B">
        <w:rPr>
          <w:b/>
          <w:bCs/>
          <w:color w:val="000000"/>
        </w:rPr>
        <w:t xml:space="preserve">Recomienda </w:t>
      </w:r>
      <w:r w:rsidRPr="00D86A6B">
        <w:rPr>
          <w:bCs/>
          <w:color w:val="000000"/>
        </w:rPr>
        <w:t xml:space="preserve">al Congreso Meteorológico Mundial la aprobación y publicación de la </w:t>
      </w:r>
      <w:r w:rsidRPr="00D86A6B">
        <w:rPr>
          <w:bCs/>
          <w:i/>
          <w:color w:val="000000"/>
        </w:rPr>
        <w:t>Estrategia de prestación de servicios de la OMM</w:t>
      </w:r>
      <w:r w:rsidRPr="00D86A6B">
        <w:rPr>
          <w:bCs/>
          <w:color w:val="000000"/>
        </w:rPr>
        <w:t xml:space="preserve"> mediante el proyecto de Resolución ##/1 (Cg-19) que figura en el </w:t>
      </w:r>
      <w:hyperlink w:anchor="_Habiendo_examinado_la" w:history="1">
        <w:r w:rsidR="00D52029" w:rsidRPr="00D52029">
          <w:rPr>
            <w:rStyle w:val="Hyperlink"/>
          </w:rPr>
          <w:t>anexo</w:t>
        </w:r>
      </w:hyperlink>
      <w:r w:rsidR="00D52029">
        <w:t xml:space="preserve"> </w:t>
      </w:r>
      <w:r w:rsidRPr="00D86A6B">
        <w:rPr>
          <w:bCs/>
          <w:color w:val="000000"/>
        </w:rPr>
        <w:t>a la presente Recomendación 5.2/1 (SERCOM-2).</w:t>
      </w:r>
    </w:p>
    <w:p w14:paraId="5F612282" w14:textId="77777777" w:rsidR="00514EAC" w:rsidRPr="00514EAC" w:rsidRDefault="00514EAC" w:rsidP="00514EAC">
      <w:pPr>
        <w:spacing w:before="480"/>
        <w:jc w:val="center"/>
        <w:rPr>
          <w:lang w:val="es-ES"/>
        </w:rPr>
      </w:pPr>
      <w:r w:rsidRPr="00514EAC">
        <w:rPr>
          <w:lang w:val="es-ES"/>
        </w:rPr>
        <w:t>______________</w:t>
      </w:r>
    </w:p>
    <w:p w14:paraId="2C75CFBC" w14:textId="77777777" w:rsidR="00514EAC" w:rsidRPr="00D52029" w:rsidRDefault="00D52029" w:rsidP="00514EAC">
      <w:pPr>
        <w:pStyle w:val="WMOBodyText"/>
        <w:spacing w:before="480"/>
        <w:rPr>
          <w:rStyle w:val="Hyperlink"/>
        </w:rPr>
      </w:pPr>
      <w:r>
        <w:fldChar w:fldCharType="begin"/>
      </w:r>
      <w:r>
        <w:instrText xml:space="preserve"> HYPERLINK  \l "_Habiendo_examinado_la" </w:instrText>
      </w:r>
      <w:r>
        <w:fldChar w:fldCharType="separate"/>
      </w:r>
      <w:r w:rsidR="00514EAC" w:rsidRPr="00D52029">
        <w:rPr>
          <w:rStyle w:val="Hyperlink"/>
        </w:rPr>
        <w:t>Anexo: 1</w:t>
      </w:r>
    </w:p>
    <w:p w14:paraId="3EAF3876" w14:textId="77777777" w:rsidR="00514EAC" w:rsidRDefault="00D52029" w:rsidP="00514EAC">
      <w:pPr>
        <w:pStyle w:val="WMOBodyText"/>
        <w:keepNext/>
        <w:spacing w:after="120"/>
      </w:pPr>
      <w:r>
        <w:fldChar w:fldCharType="end"/>
      </w:r>
      <w:r w:rsidR="00514EAC" w:rsidRPr="007F7A32">
        <w:t>________</w:t>
      </w:r>
    </w:p>
    <w:p w14:paraId="6315E68C" w14:textId="77777777" w:rsidR="00D86A6B" w:rsidRPr="007F7A32" w:rsidRDefault="00D86A6B" w:rsidP="00514EAC">
      <w:pPr>
        <w:pStyle w:val="WMOBodyText"/>
        <w:keepNext/>
        <w:spacing w:after="120"/>
      </w:pPr>
    </w:p>
    <w:p w14:paraId="5A3A8756" w14:textId="452BDCCB" w:rsidR="009B64A2" w:rsidRDefault="009B64A2">
      <w:pPr>
        <w:tabs>
          <w:tab w:val="clear" w:pos="1134"/>
        </w:tabs>
        <w:jc w:val="left"/>
        <w:rPr>
          <w:rFonts w:eastAsia="Verdana" w:cs="Verdana"/>
          <w:b/>
          <w:bCs/>
          <w:sz w:val="22"/>
          <w:szCs w:val="22"/>
          <w:lang w:val="es-ES_tradnl" w:eastAsia="zh-TW"/>
        </w:rPr>
      </w:pPr>
      <w:bookmarkStart w:id="11" w:name="_Annex_to_draft_1"/>
      <w:bookmarkStart w:id="12" w:name="AnexoRecomendación"/>
      <w:bookmarkEnd w:id="11"/>
      <w:bookmarkEnd w:id="12"/>
      <w:r>
        <w:rPr>
          <w:b/>
          <w:bCs/>
          <w:sz w:val="22"/>
          <w:szCs w:val="22"/>
        </w:rPr>
        <w:br w:type="page"/>
      </w:r>
    </w:p>
    <w:p w14:paraId="68D04B45" w14:textId="77777777" w:rsidR="00BB0D32" w:rsidRPr="001501C2" w:rsidRDefault="00514EAC" w:rsidP="00534F2D">
      <w:pPr>
        <w:pStyle w:val="WMOBodyText"/>
        <w:spacing w:before="480"/>
        <w:jc w:val="center"/>
        <w:rPr>
          <w:b/>
          <w:bCs/>
          <w:sz w:val="22"/>
          <w:szCs w:val="22"/>
        </w:rPr>
      </w:pPr>
      <w:r w:rsidRPr="001501C2">
        <w:rPr>
          <w:b/>
          <w:bCs/>
          <w:sz w:val="22"/>
          <w:szCs w:val="22"/>
        </w:rPr>
        <w:lastRenderedPageBreak/>
        <w:t xml:space="preserve">Anexo al proyecto de Recomendación </w:t>
      </w:r>
      <w:r w:rsidR="00D86A6B">
        <w:rPr>
          <w:b/>
          <w:bCs/>
          <w:lang w:val="es-ES"/>
        </w:rPr>
        <w:t>5.2</w:t>
      </w:r>
      <w:r w:rsidR="00BB0D32"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19E495F9" w14:textId="0EB1FEA2" w:rsidR="00237D44" w:rsidRDefault="00237D44" w:rsidP="001501C2">
      <w:pPr>
        <w:pStyle w:val="WMOBodyText"/>
        <w:spacing w:before="360"/>
        <w:jc w:val="center"/>
        <w:rPr>
          <w:b/>
          <w:bCs/>
          <w:lang w:val="es-ES"/>
        </w:rPr>
      </w:pPr>
      <w:r w:rsidRPr="004E27E8">
        <w:rPr>
          <w:b/>
          <w:bCs/>
        </w:rPr>
        <w:t xml:space="preserve">Proyecto de Resolución </w:t>
      </w:r>
      <w:r w:rsidR="00D86A6B">
        <w:rPr>
          <w:b/>
          <w:bCs/>
          <w:lang w:val="es-ES"/>
        </w:rPr>
        <w:t>##/1 (Cg-19)</w:t>
      </w:r>
    </w:p>
    <w:p w14:paraId="5D82480B" w14:textId="423603C0" w:rsidR="00BE51F3" w:rsidRPr="004E27E8" w:rsidRDefault="00BE51F3" w:rsidP="001501C2">
      <w:pPr>
        <w:pStyle w:val="WMOBodyText"/>
        <w:spacing w:before="360"/>
        <w:jc w:val="center"/>
        <w:rPr>
          <w:b/>
          <w:bCs/>
        </w:rPr>
      </w:pPr>
      <w:r w:rsidRPr="00BE51F3">
        <w:rPr>
          <w:b/>
          <w:bCs/>
        </w:rPr>
        <w:t>Estrategia de prestación de servicios</w:t>
      </w:r>
      <w:r w:rsidR="002C7C87">
        <w:rPr>
          <w:b/>
          <w:bCs/>
        </w:rPr>
        <w:t xml:space="preserve"> de la OMM</w:t>
      </w:r>
    </w:p>
    <w:p w14:paraId="715A2741" w14:textId="77777777" w:rsidR="00237D44" w:rsidRPr="00395E1D" w:rsidRDefault="00237D44" w:rsidP="00237D44">
      <w:pPr>
        <w:pStyle w:val="Heading3"/>
        <w:spacing w:after="240"/>
        <w:rPr>
          <w:b w:val="0"/>
          <w:bCs w:val="0"/>
          <w:lang w:val="es-ES"/>
        </w:rPr>
      </w:pPr>
      <w:r w:rsidRPr="00395E1D">
        <w:rPr>
          <w:b w:val="0"/>
          <w:bCs w:val="0"/>
          <w:lang w:val="es-ES"/>
        </w:rPr>
        <w:t>EL CONGRESO METEOROLÓGICO MUNDIAL</w:t>
      </w:r>
      <w:r>
        <w:rPr>
          <w:b w:val="0"/>
          <w:bCs w:val="0"/>
          <w:lang w:val="es-ES"/>
        </w:rPr>
        <w:t>,</w:t>
      </w:r>
    </w:p>
    <w:p w14:paraId="2AA0D27D" w14:textId="77777777" w:rsidR="00237D44" w:rsidRDefault="00237D44" w:rsidP="00237D44">
      <w:pPr>
        <w:pStyle w:val="Heading3"/>
        <w:spacing w:before="240" w:after="240"/>
        <w:rPr>
          <w:b w:val="0"/>
          <w:bCs w:val="0"/>
          <w:lang w:val="es-ES"/>
        </w:rPr>
      </w:pPr>
      <w:bookmarkStart w:id="13" w:name="_Habiendo_examinado_la"/>
      <w:bookmarkEnd w:id="13"/>
      <w:r>
        <w:rPr>
          <w:lang w:val="es-ES"/>
        </w:rPr>
        <w:t xml:space="preserve">Habiendo examinado </w:t>
      </w:r>
      <w:r w:rsidR="00D86A6B" w:rsidRPr="00D86A6B">
        <w:rPr>
          <w:b w:val="0"/>
          <w:bCs w:val="0"/>
          <w:lang w:val="es-ES"/>
        </w:rPr>
        <w:t xml:space="preserve">la Recomendación 5.2/1 (SERCOM-2) — Actualización de </w:t>
      </w:r>
      <w:hyperlink r:id="rId28" w:history="1">
        <w:r w:rsidR="00D52029" w:rsidRPr="00D52029">
          <w:rPr>
            <w:rStyle w:val="Hyperlink"/>
            <w:b w:val="0"/>
            <w:i/>
            <w:lang w:val="es-ES"/>
          </w:rPr>
          <w:t>La estrategia de prestación de servicios de la OMM y su plan de aplicación</w:t>
        </w:r>
      </w:hyperlink>
      <w:r w:rsidR="00D86A6B">
        <w:rPr>
          <w:b w:val="0"/>
          <w:bCs w:val="0"/>
          <w:lang w:val="es-ES"/>
        </w:rPr>
        <w:t xml:space="preserve"> (OMM-Nº 1129)</w:t>
      </w:r>
      <w:r>
        <w:rPr>
          <w:b w:val="0"/>
          <w:bCs w:val="0"/>
          <w:lang w:val="es-ES"/>
        </w:rPr>
        <w:t>,</w:t>
      </w:r>
    </w:p>
    <w:p w14:paraId="76B7D235" w14:textId="07289DAC" w:rsidR="00D86A6B" w:rsidRDefault="00D86A6B" w:rsidP="00237D44">
      <w:pPr>
        <w:pStyle w:val="WMOBodyText"/>
        <w:spacing w:after="240"/>
        <w:rPr>
          <w:b/>
          <w:bCs/>
          <w:lang w:val="es-ES"/>
        </w:rPr>
      </w:pPr>
      <w:r w:rsidRPr="00D86A6B">
        <w:rPr>
          <w:b/>
          <w:bCs/>
          <w:lang w:val="es-ES"/>
        </w:rPr>
        <w:t xml:space="preserve">Habiendo examinado </w:t>
      </w:r>
      <w:r w:rsidR="00583D0D" w:rsidRPr="0010021A">
        <w:rPr>
          <w:b/>
          <w:bCs/>
          <w:lang w:val="es-ES"/>
        </w:rPr>
        <w:t>también</w:t>
      </w:r>
      <w:r w:rsidR="00583D0D" w:rsidRPr="0010021A">
        <w:rPr>
          <w:lang w:val="es-ES"/>
        </w:rPr>
        <w:t xml:space="preserve"> </w:t>
      </w:r>
      <w:r w:rsidRPr="00D86A6B">
        <w:rPr>
          <w:bCs/>
          <w:lang w:val="es-ES"/>
        </w:rPr>
        <w:t xml:space="preserve">la </w:t>
      </w:r>
      <w:r w:rsidR="009B0E83">
        <w:rPr>
          <w:bCs/>
          <w:lang w:val="es-ES"/>
        </w:rPr>
        <w:t xml:space="preserve">propuesta de </w:t>
      </w:r>
      <w:r w:rsidR="00552E7C">
        <w:rPr>
          <w:bCs/>
          <w:lang w:val="es-ES"/>
        </w:rPr>
        <w:t>realizar</w:t>
      </w:r>
      <w:r w:rsidR="009B0E83">
        <w:rPr>
          <w:bCs/>
          <w:lang w:val="es-ES"/>
        </w:rPr>
        <w:t xml:space="preserve"> una</w:t>
      </w:r>
      <w:r w:rsidRPr="00D86A6B">
        <w:rPr>
          <w:bCs/>
          <w:lang w:val="es-ES"/>
        </w:rPr>
        <w:t xml:space="preserve"> edición </w:t>
      </w:r>
      <w:r>
        <w:rPr>
          <w:bCs/>
          <w:lang w:val="es-ES"/>
        </w:rPr>
        <w:t>de la publicación OMM-</w:t>
      </w:r>
      <w:proofErr w:type="spellStart"/>
      <w:r>
        <w:rPr>
          <w:bCs/>
          <w:lang w:val="es-ES"/>
        </w:rPr>
        <w:t>N°</w:t>
      </w:r>
      <w:proofErr w:type="spellEnd"/>
      <w:r>
        <w:rPr>
          <w:bCs/>
          <w:lang w:val="es-ES"/>
        </w:rPr>
        <w:t xml:space="preserve"> 1129</w:t>
      </w:r>
      <w:r w:rsidR="009B0E83">
        <w:rPr>
          <w:bCs/>
          <w:lang w:val="es-ES"/>
        </w:rPr>
        <w:t xml:space="preserve">, </w:t>
      </w:r>
      <w:r w:rsidR="00552E7C">
        <w:rPr>
          <w:bCs/>
          <w:lang w:val="es-ES"/>
        </w:rPr>
        <w:t>que se titulará</w:t>
      </w:r>
      <w:r w:rsidR="009B0E83">
        <w:rPr>
          <w:bCs/>
          <w:lang w:val="es-ES"/>
        </w:rPr>
        <w:t xml:space="preserve"> </w:t>
      </w:r>
      <w:r w:rsidRPr="00D86A6B">
        <w:rPr>
          <w:bCs/>
          <w:i/>
          <w:lang w:val="es-ES"/>
        </w:rPr>
        <w:t>Estrategia de prestación de servicios de la OMM</w:t>
      </w:r>
      <w:r w:rsidRPr="00D86A6B">
        <w:rPr>
          <w:b/>
          <w:bCs/>
          <w:lang w:val="es-ES"/>
        </w:rPr>
        <w:t>,</w:t>
      </w:r>
    </w:p>
    <w:p w14:paraId="5D492C81" w14:textId="4ED0BFB1" w:rsidR="00362C58" w:rsidRPr="0099372C" w:rsidRDefault="009B5641" w:rsidP="00237D44">
      <w:pPr>
        <w:pStyle w:val="WMOBodyText"/>
        <w:spacing w:after="240"/>
      </w:pPr>
      <w:r w:rsidRPr="009B5641">
        <w:rPr>
          <w:b/>
          <w:bCs/>
          <w:lang w:val="es-ES"/>
        </w:rPr>
        <w:t xml:space="preserve">Habiendo </w:t>
      </w:r>
      <w:r w:rsidR="00362C58" w:rsidRPr="0099372C">
        <w:rPr>
          <w:b/>
          <w:bCs/>
          <w:lang w:val="es-ES"/>
        </w:rPr>
        <w:t>examinado</w:t>
      </w:r>
      <w:r w:rsidR="00583D0D">
        <w:rPr>
          <w:b/>
          <w:bCs/>
          <w:lang w:val="es-ES"/>
        </w:rPr>
        <w:t xml:space="preserve"> además</w:t>
      </w:r>
      <w:r w:rsidR="00362C58" w:rsidRPr="00AD6D47">
        <w:rPr>
          <w:b/>
          <w:bCs/>
          <w:lang w:val="es-ES"/>
        </w:rPr>
        <w:t xml:space="preserve"> </w:t>
      </w:r>
      <w:r w:rsidR="00362C58" w:rsidRPr="0099372C">
        <w:rPr>
          <w:lang w:val="es-ES"/>
        </w:rPr>
        <w:t xml:space="preserve">la </w:t>
      </w:r>
      <w:r w:rsidR="00AD6D47" w:rsidRPr="0099372C">
        <w:rPr>
          <w:lang w:val="es-ES"/>
        </w:rPr>
        <w:t xml:space="preserve">correspondiente </w:t>
      </w:r>
      <w:r w:rsidR="00362C58" w:rsidRPr="0099372C">
        <w:rPr>
          <w:lang w:val="es-ES"/>
        </w:rPr>
        <w:t>recomendación del Comité de Coordinación Técnica</w:t>
      </w:r>
      <w:r w:rsidR="00AD6D47" w:rsidRPr="0099372C">
        <w:rPr>
          <w:lang w:val="es-ES"/>
        </w:rPr>
        <w:t xml:space="preserve">, que </w:t>
      </w:r>
      <w:r w:rsidR="00AD6D47">
        <w:rPr>
          <w:lang w:val="es-ES"/>
        </w:rPr>
        <w:t xml:space="preserve">figura en el documento </w:t>
      </w:r>
      <w:r w:rsidR="00362C58" w:rsidRPr="0099372C">
        <w:rPr>
          <w:lang w:val="es-ES"/>
        </w:rPr>
        <w:t xml:space="preserve">Cg-19/INF. </w:t>
      </w:r>
      <w:r w:rsidR="00362C58" w:rsidRPr="0099372C">
        <w:t>XX,</w:t>
      </w:r>
    </w:p>
    <w:p w14:paraId="0508426E" w14:textId="011D54C1" w:rsidR="00D86A6B" w:rsidRPr="0099372C" w:rsidRDefault="00D86A6B" w:rsidP="00237D44">
      <w:pPr>
        <w:pStyle w:val="WMOBodyText"/>
        <w:spacing w:after="240"/>
        <w:rPr>
          <w:b/>
          <w:bCs/>
        </w:rPr>
      </w:pPr>
      <w:r w:rsidRPr="0099372C">
        <w:rPr>
          <w:b/>
          <w:bCs/>
        </w:rPr>
        <w:t xml:space="preserve">Habiendo dado su conformidad </w:t>
      </w:r>
      <w:r w:rsidRPr="0099372C">
        <w:rPr>
          <w:bCs/>
        </w:rPr>
        <w:t>a la Recomendación 5.2/1 (SERCOM-2),</w:t>
      </w:r>
      <w:r w:rsidRPr="0099372C">
        <w:rPr>
          <w:b/>
          <w:bCs/>
        </w:rPr>
        <w:t xml:space="preserve"> </w:t>
      </w:r>
    </w:p>
    <w:p w14:paraId="28E91D26" w14:textId="54C2EC29" w:rsidR="00D86A6B" w:rsidRDefault="00D86A6B" w:rsidP="00237D44">
      <w:pPr>
        <w:pStyle w:val="WMOBodyText"/>
        <w:spacing w:after="240"/>
        <w:rPr>
          <w:bCs/>
          <w:lang w:val="es-ES"/>
        </w:rPr>
      </w:pPr>
      <w:r w:rsidRPr="00D86A6B">
        <w:rPr>
          <w:b/>
          <w:bCs/>
          <w:lang w:val="es-ES"/>
        </w:rPr>
        <w:t xml:space="preserve">Poniendo de relieve </w:t>
      </w:r>
      <w:r w:rsidRPr="00D86A6B">
        <w:rPr>
          <w:bCs/>
          <w:lang w:val="es-ES"/>
        </w:rPr>
        <w:t xml:space="preserve">el valor de una estrategia para la mejora constante de la prestación de servicios por parte de los Miembros y sus </w:t>
      </w:r>
      <w:r w:rsidR="009A52CF" w:rsidRPr="009A52CF">
        <w:rPr>
          <w:bCs/>
          <w:lang w:val="es-ES"/>
        </w:rPr>
        <w:t>Servicios Meteorológicos e Hidrológicos Nacionales</w:t>
      </w:r>
      <w:r w:rsidR="002E2CC5">
        <w:rPr>
          <w:bCs/>
          <w:lang w:val="es-ES"/>
        </w:rPr>
        <w:t xml:space="preserve"> (</w:t>
      </w:r>
      <w:r w:rsidRPr="00D86A6B">
        <w:rPr>
          <w:bCs/>
          <w:lang w:val="es-ES"/>
        </w:rPr>
        <w:t>SMHN</w:t>
      </w:r>
      <w:r w:rsidR="002E2CC5">
        <w:rPr>
          <w:bCs/>
          <w:lang w:val="es-ES"/>
        </w:rPr>
        <w:t>)</w:t>
      </w:r>
      <w:r w:rsidRPr="00D86A6B">
        <w:rPr>
          <w:bCs/>
          <w:lang w:val="es-ES"/>
        </w:rPr>
        <w:t>,</w:t>
      </w:r>
    </w:p>
    <w:p w14:paraId="12101492" w14:textId="3C35776C" w:rsidR="00D86A6B" w:rsidRDefault="00D86A6B" w:rsidP="00237D44">
      <w:pPr>
        <w:pStyle w:val="WMOBodyText"/>
        <w:spacing w:after="240"/>
        <w:rPr>
          <w:bCs/>
          <w:lang w:val="es-ES"/>
        </w:rPr>
      </w:pPr>
      <w:r w:rsidRPr="00D86A6B">
        <w:rPr>
          <w:b/>
          <w:bCs/>
          <w:lang w:val="es-ES"/>
        </w:rPr>
        <w:t>Hace suya</w:t>
      </w:r>
      <w:r w:rsidRPr="00D86A6B">
        <w:rPr>
          <w:bCs/>
          <w:lang w:val="es-ES"/>
        </w:rPr>
        <w:t xml:space="preserve"> la aprobación y publicación de la </w:t>
      </w:r>
      <w:bookmarkStart w:id="14" w:name="_Hlk116303204"/>
      <w:r w:rsidRPr="00D86A6B">
        <w:rPr>
          <w:bCs/>
          <w:i/>
          <w:lang w:val="es-ES"/>
        </w:rPr>
        <w:t xml:space="preserve">Estrategia </w:t>
      </w:r>
      <w:r w:rsidR="002E7AF9">
        <w:rPr>
          <w:bCs/>
          <w:i/>
          <w:lang w:val="es-ES"/>
        </w:rPr>
        <w:t xml:space="preserve">de </w:t>
      </w:r>
      <w:r w:rsidRPr="00D86A6B">
        <w:rPr>
          <w:bCs/>
          <w:i/>
          <w:lang w:val="es-ES"/>
        </w:rPr>
        <w:t xml:space="preserve">prestación de servicios </w:t>
      </w:r>
      <w:bookmarkEnd w:id="14"/>
      <w:r w:rsidR="002E7AF9" w:rsidRPr="002E7AF9">
        <w:rPr>
          <w:bCs/>
          <w:i/>
          <w:lang w:val="es-ES"/>
        </w:rPr>
        <w:t>de la OMM</w:t>
      </w:r>
      <w:r w:rsidR="002E7AF9">
        <w:rPr>
          <w:bCs/>
          <w:lang w:val="es-ES"/>
        </w:rPr>
        <w:t xml:space="preserve"> </w:t>
      </w:r>
      <w:r w:rsidR="00746122">
        <w:rPr>
          <w:bCs/>
          <w:lang w:val="es-ES"/>
        </w:rPr>
        <w:t>(OMM-</w:t>
      </w:r>
      <w:proofErr w:type="spellStart"/>
      <w:r w:rsidR="00746122">
        <w:rPr>
          <w:bCs/>
          <w:lang w:val="es-ES"/>
        </w:rPr>
        <w:t>Nº</w:t>
      </w:r>
      <w:proofErr w:type="spellEnd"/>
      <w:r w:rsidR="00746122">
        <w:rPr>
          <w:bCs/>
          <w:lang w:val="es-ES"/>
        </w:rPr>
        <w:t xml:space="preserve"> 1129), </w:t>
      </w:r>
      <w:r w:rsidRPr="00D86A6B">
        <w:rPr>
          <w:bCs/>
          <w:lang w:val="es-ES"/>
        </w:rPr>
        <w:t xml:space="preserve">en sustitución de </w:t>
      </w:r>
      <w:r w:rsidRPr="00D86A6B">
        <w:rPr>
          <w:bCs/>
          <w:i/>
          <w:lang w:val="es-ES"/>
        </w:rPr>
        <w:t>La estrategia de prestación de servicios de la OMM y su plan de aplicación</w:t>
      </w:r>
      <w:r w:rsidRPr="00D86A6B">
        <w:rPr>
          <w:bCs/>
          <w:lang w:val="es-ES"/>
        </w:rPr>
        <w:t>;</w:t>
      </w:r>
    </w:p>
    <w:p w14:paraId="0DF1EFBF" w14:textId="77777777" w:rsidR="00D86A6B" w:rsidRPr="00D86A6B" w:rsidRDefault="00D86A6B" w:rsidP="00D86A6B">
      <w:pPr>
        <w:pStyle w:val="WMOBodyText"/>
        <w:spacing w:after="240"/>
        <w:rPr>
          <w:bCs/>
          <w:lang w:val="es-ES"/>
        </w:rPr>
      </w:pPr>
      <w:r w:rsidRPr="00D86A6B">
        <w:rPr>
          <w:b/>
          <w:bCs/>
          <w:lang w:val="es-ES"/>
        </w:rPr>
        <w:t>Solicita</w:t>
      </w:r>
      <w:r w:rsidRPr="00D86A6B">
        <w:rPr>
          <w:bCs/>
          <w:lang w:val="es-ES"/>
        </w:rPr>
        <w:t xml:space="preserve"> al Secretario General: </w:t>
      </w:r>
    </w:p>
    <w:p w14:paraId="15872989" w14:textId="0EC71A7C" w:rsidR="00D86A6B" w:rsidRPr="00D86A6B" w:rsidRDefault="00D86A6B" w:rsidP="005343AB">
      <w:pPr>
        <w:pStyle w:val="WMOBodyText"/>
        <w:spacing w:after="240"/>
        <w:ind w:left="709" w:hanging="709"/>
        <w:rPr>
          <w:bCs/>
          <w:lang w:val="es-ES"/>
        </w:rPr>
      </w:pPr>
      <w:r w:rsidRPr="00D86A6B">
        <w:rPr>
          <w:bCs/>
          <w:lang w:val="es-ES"/>
        </w:rPr>
        <w:t>1)</w:t>
      </w:r>
      <w:r w:rsidRPr="00D86A6B">
        <w:rPr>
          <w:bCs/>
          <w:lang w:val="es-ES"/>
        </w:rPr>
        <w:tab/>
        <w:t xml:space="preserve">que adopte las disposiciones necesarias para la pronta publicación de la </w:t>
      </w:r>
      <w:r w:rsidRPr="00D86A6B">
        <w:rPr>
          <w:bCs/>
          <w:i/>
          <w:lang w:val="es-ES"/>
        </w:rPr>
        <w:t xml:space="preserve">Estrategia </w:t>
      </w:r>
      <w:r w:rsidR="002E2CC5">
        <w:rPr>
          <w:bCs/>
          <w:i/>
          <w:lang w:val="es-ES"/>
        </w:rPr>
        <w:t>de</w:t>
      </w:r>
      <w:r w:rsidRPr="00D86A6B">
        <w:rPr>
          <w:bCs/>
          <w:i/>
          <w:lang w:val="es-ES"/>
        </w:rPr>
        <w:t xml:space="preserve"> prestación de servicios</w:t>
      </w:r>
      <w:r w:rsidRPr="00D86A6B">
        <w:rPr>
          <w:bCs/>
          <w:lang w:val="es-ES"/>
        </w:rPr>
        <w:t xml:space="preserve"> </w:t>
      </w:r>
      <w:r w:rsidR="002E2CC5" w:rsidRPr="002E7AF9">
        <w:rPr>
          <w:bCs/>
          <w:i/>
          <w:lang w:val="es-ES"/>
        </w:rPr>
        <w:t>de la OMM</w:t>
      </w:r>
      <w:r w:rsidR="002E2CC5" w:rsidRPr="00D86A6B">
        <w:rPr>
          <w:bCs/>
          <w:lang w:val="es-ES"/>
        </w:rPr>
        <w:t xml:space="preserve"> </w:t>
      </w:r>
      <w:r w:rsidRPr="00D86A6B">
        <w:rPr>
          <w:bCs/>
          <w:lang w:val="es-ES"/>
        </w:rPr>
        <w:t>(OMM-</w:t>
      </w:r>
      <w:proofErr w:type="spellStart"/>
      <w:r w:rsidRPr="00D86A6B">
        <w:rPr>
          <w:bCs/>
          <w:lang w:val="es-ES"/>
        </w:rPr>
        <w:t>Nº</w:t>
      </w:r>
      <w:proofErr w:type="spellEnd"/>
      <w:r w:rsidRPr="00D86A6B">
        <w:rPr>
          <w:bCs/>
          <w:lang w:val="es-ES"/>
        </w:rPr>
        <w:t xml:space="preserve"> 1129);</w:t>
      </w:r>
    </w:p>
    <w:p w14:paraId="7D513A9E" w14:textId="77777777" w:rsidR="00D86A6B" w:rsidRPr="00D86A6B" w:rsidRDefault="00D86A6B" w:rsidP="005343AB">
      <w:pPr>
        <w:pStyle w:val="WMOBodyText"/>
        <w:spacing w:after="240"/>
        <w:ind w:left="709" w:hanging="709"/>
        <w:rPr>
          <w:bCs/>
          <w:lang w:val="es-ES"/>
        </w:rPr>
      </w:pPr>
      <w:r w:rsidRPr="00D86A6B">
        <w:rPr>
          <w:bCs/>
          <w:lang w:val="es-ES"/>
        </w:rPr>
        <w:t>2)</w:t>
      </w:r>
      <w:r w:rsidRPr="00D86A6B">
        <w:rPr>
          <w:bCs/>
          <w:lang w:val="es-ES"/>
        </w:rPr>
        <w:tab/>
        <w:t xml:space="preserve">que adopte las disposiciones necesarias para la puesta al día de las actuales publicaciones de la OMM en las que pueda hacerse referencia al antiguo título de la publicación OMM-Nº 1129; </w:t>
      </w:r>
    </w:p>
    <w:p w14:paraId="3042B50A" w14:textId="28C4EDB8" w:rsidR="00F65B61" w:rsidRDefault="00D86A6B" w:rsidP="00F65B61">
      <w:pPr>
        <w:pStyle w:val="WMOBodyText"/>
        <w:spacing w:after="240"/>
        <w:rPr>
          <w:bCs/>
          <w:lang w:val="es-ES"/>
        </w:rPr>
      </w:pPr>
      <w:r w:rsidRPr="00D86A6B">
        <w:rPr>
          <w:b/>
          <w:bCs/>
          <w:lang w:val="es-ES"/>
        </w:rPr>
        <w:t>Solicita también</w:t>
      </w:r>
      <w:r w:rsidRPr="00D86A6B">
        <w:rPr>
          <w:bCs/>
          <w:lang w:val="es-ES"/>
        </w:rPr>
        <w:t xml:space="preserve"> al presidente de la </w:t>
      </w:r>
      <w:r w:rsidR="00481BAB">
        <w:rPr>
          <w:lang w:val="es-ES"/>
        </w:rPr>
        <w:t>Comisión de Aplicaciones y Servicios Meteorológicos, Climáticos, Hidrológicos y Medioambientales Conexos (</w:t>
      </w:r>
      <w:r w:rsidRPr="00D86A6B">
        <w:rPr>
          <w:bCs/>
          <w:lang w:val="es-ES"/>
        </w:rPr>
        <w:t>SERCOM</w:t>
      </w:r>
      <w:r w:rsidR="00481BAB">
        <w:rPr>
          <w:bCs/>
          <w:lang w:val="es-ES"/>
        </w:rPr>
        <w:t>)</w:t>
      </w:r>
      <w:r w:rsidRPr="00D86A6B">
        <w:rPr>
          <w:bCs/>
          <w:lang w:val="es-ES"/>
        </w:rPr>
        <w:t xml:space="preserve"> que, con la ayuda del presidente de la Comisión de Observaciones, Infraestructura y Sistemas de Información (INFCOM) y del presidente de la Junta de Investigación, y en consulta con las asociaciones regionales, según corresponda, siga velando por que la </w:t>
      </w:r>
      <w:r w:rsidRPr="00D86A6B">
        <w:rPr>
          <w:bCs/>
          <w:i/>
          <w:lang w:val="es-ES"/>
        </w:rPr>
        <w:t>Estrategia de prestación de servicios de la OMM</w:t>
      </w:r>
      <w:r w:rsidRPr="00D86A6B">
        <w:rPr>
          <w:bCs/>
          <w:lang w:val="es-ES"/>
        </w:rPr>
        <w:t xml:space="preserve"> (OMM-Nº 1129) se examine y se ponga al día periódicamente, cuando sea necesario, de conformidad con los procedimientos establecidos.</w:t>
      </w:r>
    </w:p>
    <w:p w14:paraId="0A27FB01" w14:textId="1BD57446" w:rsidR="00D86A6B" w:rsidRPr="00D86A6B" w:rsidRDefault="00D86A6B" w:rsidP="00F65B61">
      <w:pPr>
        <w:pStyle w:val="WMOBodyText"/>
        <w:spacing w:after="240"/>
        <w:rPr>
          <w:bCs/>
          <w:lang w:val="es-ES"/>
        </w:rPr>
      </w:pPr>
      <w:r w:rsidRPr="00D86A6B">
        <w:rPr>
          <w:b/>
          <w:bCs/>
          <w:lang w:val="es-ES"/>
        </w:rPr>
        <w:t xml:space="preserve">Alienta </w:t>
      </w:r>
      <w:r w:rsidRPr="00D86A6B">
        <w:rPr>
          <w:bCs/>
          <w:lang w:val="es-ES"/>
        </w:rPr>
        <w:t>a los Miembros, a sus SMHN y a las organizaci</w:t>
      </w:r>
      <w:r w:rsidR="00F65B61">
        <w:rPr>
          <w:bCs/>
          <w:lang w:val="es-ES"/>
        </w:rPr>
        <w:t xml:space="preserve">ones asociadas a remitirse a la </w:t>
      </w:r>
      <w:r w:rsidRPr="00D86A6B">
        <w:rPr>
          <w:bCs/>
          <w:lang w:val="es-ES"/>
        </w:rPr>
        <w:t>publicación OMM-</w:t>
      </w:r>
      <w:proofErr w:type="spellStart"/>
      <w:r w:rsidRPr="00D86A6B">
        <w:rPr>
          <w:bCs/>
          <w:lang w:val="es-ES"/>
        </w:rPr>
        <w:t>Nº</w:t>
      </w:r>
      <w:proofErr w:type="spellEnd"/>
      <w:r w:rsidRPr="00D86A6B">
        <w:rPr>
          <w:bCs/>
          <w:lang w:val="es-ES"/>
        </w:rPr>
        <w:t xml:space="preserve"> 1129 para </w:t>
      </w:r>
      <w:r w:rsidR="00377B51">
        <w:rPr>
          <w:bCs/>
          <w:lang w:val="es-ES"/>
        </w:rPr>
        <w:t>proseguir</w:t>
      </w:r>
      <w:r w:rsidR="00377B51" w:rsidRPr="00D86A6B">
        <w:rPr>
          <w:bCs/>
          <w:lang w:val="es-ES"/>
        </w:rPr>
        <w:t xml:space="preserve"> </w:t>
      </w:r>
      <w:r w:rsidRPr="00D86A6B">
        <w:rPr>
          <w:bCs/>
          <w:lang w:val="es-ES"/>
        </w:rPr>
        <w:t xml:space="preserve">o </w:t>
      </w:r>
      <w:r w:rsidR="00377B51">
        <w:rPr>
          <w:bCs/>
          <w:lang w:val="es-ES"/>
        </w:rPr>
        <w:t xml:space="preserve">intensificar </w:t>
      </w:r>
      <w:r w:rsidRPr="00D86A6B">
        <w:rPr>
          <w:bCs/>
          <w:lang w:val="es-ES"/>
        </w:rPr>
        <w:t xml:space="preserve">sus esfuerzos con el propósito de mejorar y preservar el valor de la prestación de servicios. </w:t>
      </w:r>
    </w:p>
    <w:p w14:paraId="3AD51BF2" w14:textId="77777777" w:rsidR="00D86A6B" w:rsidRPr="00D86A6B" w:rsidRDefault="00D86A6B" w:rsidP="00D86A6B">
      <w:pPr>
        <w:pStyle w:val="WMOBodyText"/>
        <w:spacing w:after="240"/>
        <w:rPr>
          <w:bCs/>
          <w:lang w:val="es-ES"/>
        </w:rPr>
      </w:pPr>
    </w:p>
    <w:p w14:paraId="1C9DF0CD" w14:textId="77777777" w:rsidR="00864DBF" w:rsidRPr="002C5965" w:rsidRDefault="00514EAC" w:rsidP="00EB1E83">
      <w:pPr>
        <w:pStyle w:val="WMOBodyText"/>
        <w:jc w:val="center"/>
      </w:pPr>
      <w:r w:rsidRPr="007F7A32">
        <w:t>______________</w:t>
      </w:r>
    </w:p>
    <w:sectPr w:rsidR="00864DBF" w:rsidRPr="002C5965" w:rsidSect="0020095E">
      <w:headerReference w:type="defaul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5967" w14:textId="77777777" w:rsidR="001413B4" w:rsidRDefault="001413B4">
      <w:r>
        <w:separator/>
      </w:r>
    </w:p>
    <w:p w14:paraId="3580878E" w14:textId="77777777" w:rsidR="001413B4" w:rsidRDefault="001413B4"/>
    <w:p w14:paraId="1EDD22D6" w14:textId="77777777" w:rsidR="001413B4" w:rsidRDefault="001413B4"/>
  </w:endnote>
  <w:endnote w:type="continuationSeparator" w:id="0">
    <w:p w14:paraId="248E33D3" w14:textId="77777777" w:rsidR="001413B4" w:rsidRDefault="001413B4">
      <w:r>
        <w:continuationSeparator/>
      </w:r>
    </w:p>
    <w:p w14:paraId="7E66F573" w14:textId="77777777" w:rsidR="001413B4" w:rsidRDefault="001413B4"/>
    <w:p w14:paraId="4EE327C6" w14:textId="77777777" w:rsidR="001413B4" w:rsidRDefault="0014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8E65" w14:textId="77777777" w:rsidR="001413B4" w:rsidRDefault="001413B4">
      <w:r>
        <w:separator/>
      </w:r>
    </w:p>
  </w:footnote>
  <w:footnote w:type="continuationSeparator" w:id="0">
    <w:p w14:paraId="7E148D0F" w14:textId="77777777" w:rsidR="001413B4" w:rsidRDefault="001413B4">
      <w:r>
        <w:continuationSeparator/>
      </w:r>
    </w:p>
    <w:p w14:paraId="75746684" w14:textId="77777777" w:rsidR="001413B4" w:rsidRDefault="001413B4"/>
    <w:p w14:paraId="0D8DCFB7" w14:textId="77777777" w:rsidR="001413B4" w:rsidRDefault="00141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4382" w14:textId="77777777" w:rsidR="007C212A" w:rsidRDefault="009F5A1D" w:rsidP="00290495">
    <w:pPr>
      <w:pStyle w:val="Header"/>
    </w:pPr>
    <w:r>
      <w:rPr>
        <w:lang w:val="es-ES"/>
      </w:rPr>
      <w:t>SERCOM-2</w:t>
    </w:r>
    <w:r w:rsidR="00A41E35" w:rsidRPr="0092449A">
      <w:rPr>
        <w:lang w:val="es-ES"/>
      </w:rPr>
      <w:t>/</w:t>
    </w:r>
    <w:r w:rsidR="00D86A6B" w:rsidRPr="00D86A6B">
      <w:t xml:space="preserve"> </w:t>
    </w:r>
    <w:r w:rsidR="00D86A6B">
      <w:t>Doc. 5.2</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746122">
      <w:rPr>
        <w:rStyle w:val="PageNumber"/>
        <w:noProof/>
        <w:lang w:val="es-ES"/>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1086DCE"/>
    <w:multiLevelType w:val="multilevel"/>
    <w:tmpl w:val="CE4C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0456793">
    <w:abstractNumId w:val="29"/>
  </w:num>
  <w:num w:numId="2" w16cid:durableId="28654163">
    <w:abstractNumId w:val="45"/>
  </w:num>
  <w:num w:numId="3" w16cid:durableId="1276792825">
    <w:abstractNumId w:val="27"/>
  </w:num>
  <w:num w:numId="4" w16cid:durableId="475613061">
    <w:abstractNumId w:val="37"/>
  </w:num>
  <w:num w:numId="5" w16cid:durableId="555822703">
    <w:abstractNumId w:val="17"/>
  </w:num>
  <w:num w:numId="6" w16cid:durableId="490416393">
    <w:abstractNumId w:val="22"/>
  </w:num>
  <w:num w:numId="7" w16cid:durableId="1378889652">
    <w:abstractNumId w:val="18"/>
  </w:num>
  <w:num w:numId="8" w16cid:durableId="190150430">
    <w:abstractNumId w:val="30"/>
  </w:num>
  <w:num w:numId="9" w16cid:durableId="1812552134">
    <w:abstractNumId w:val="21"/>
  </w:num>
  <w:num w:numId="10" w16cid:durableId="10451055">
    <w:abstractNumId w:val="20"/>
  </w:num>
  <w:num w:numId="11" w16cid:durableId="1713462170">
    <w:abstractNumId w:val="36"/>
  </w:num>
  <w:num w:numId="12" w16cid:durableId="635451594">
    <w:abstractNumId w:val="11"/>
  </w:num>
  <w:num w:numId="13" w16cid:durableId="644969240">
    <w:abstractNumId w:val="25"/>
  </w:num>
  <w:num w:numId="14" w16cid:durableId="798761029">
    <w:abstractNumId w:val="41"/>
  </w:num>
  <w:num w:numId="15" w16cid:durableId="777605422">
    <w:abstractNumId w:val="19"/>
  </w:num>
  <w:num w:numId="16" w16cid:durableId="682707664">
    <w:abstractNumId w:val="9"/>
  </w:num>
  <w:num w:numId="17" w16cid:durableId="1336421630">
    <w:abstractNumId w:val="7"/>
  </w:num>
  <w:num w:numId="18" w16cid:durableId="1375889322">
    <w:abstractNumId w:val="6"/>
  </w:num>
  <w:num w:numId="19" w16cid:durableId="741802073">
    <w:abstractNumId w:val="5"/>
  </w:num>
  <w:num w:numId="20" w16cid:durableId="970482748">
    <w:abstractNumId w:val="4"/>
  </w:num>
  <w:num w:numId="21" w16cid:durableId="614677937">
    <w:abstractNumId w:val="8"/>
  </w:num>
  <w:num w:numId="22" w16cid:durableId="2081369086">
    <w:abstractNumId w:val="3"/>
  </w:num>
  <w:num w:numId="23" w16cid:durableId="1065570293">
    <w:abstractNumId w:val="2"/>
  </w:num>
  <w:num w:numId="24" w16cid:durableId="1542279796">
    <w:abstractNumId w:val="1"/>
  </w:num>
  <w:num w:numId="25" w16cid:durableId="361521284">
    <w:abstractNumId w:val="0"/>
  </w:num>
  <w:num w:numId="26" w16cid:durableId="1951349411">
    <w:abstractNumId w:val="43"/>
  </w:num>
  <w:num w:numId="27" w16cid:durableId="342443313">
    <w:abstractNumId w:val="31"/>
  </w:num>
  <w:num w:numId="28" w16cid:durableId="1860779477">
    <w:abstractNumId w:val="23"/>
  </w:num>
  <w:num w:numId="29" w16cid:durableId="1962220406">
    <w:abstractNumId w:val="32"/>
  </w:num>
  <w:num w:numId="30" w16cid:durableId="1829444812">
    <w:abstractNumId w:val="33"/>
  </w:num>
  <w:num w:numId="31" w16cid:durableId="1787313673">
    <w:abstractNumId w:val="14"/>
  </w:num>
  <w:num w:numId="32" w16cid:durableId="1316032783">
    <w:abstractNumId w:val="40"/>
  </w:num>
  <w:num w:numId="33" w16cid:durableId="1511990767">
    <w:abstractNumId w:val="38"/>
  </w:num>
  <w:num w:numId="34" w16cid:durableId="1267234455">
    <w:abstractNumId w:val="24"/>
  </w:num>
  <w:num w:numId="35" w16cid:durableId="1689791660">
    <w:abstractNumId w:val="26"/>
  </w:num>
  <w:num w:numId="36" w16cid:durableId="602345913">
    <w:abstractNumId w:val="44"/>
  </w:num>
  <w:num w:numId="37" w16cid:durableId="1136525509">
    <w:abstractNumId w:val="34"/>
  </w:num>
  <w:num w:numId="38" w16cid:durableId="1521355531">
    <w:abstractNumId w:val="12"/>
  </w:num>
  <w:num w:numId="39" w16cid:durableId="387388748">
    <w:abstractNumId w:val="13"/>
  </w:num>
  <w:num w:numId="40" w16cid:durableId="773673823">
    <w:abstractNumId w:val="15"/>
  </w:num>
  <w:num w:numId="41" w16cid:durableId="430514615">
    <w:abstractNumId w:val="10"/>
  </w:num>
  <w:num w:numId="42" w16cid:durableId="831263447">
    <w:abstractNumId w:val="42"/>
  </w:num>
  <w:num w:numId="43" w16cid:durableId="1381787546">
    <w:abstractNumId w:val="16"/>
  </w:num>
  <w:num w:numId="44" w16cid:durableId="150800033">
    <w:abstractNumId w:val="28"/>
  </w:num>
  <w:num w:numId="45" w16cid:durableId="1453596453">
    <w:abstractNumId w:val="39"/>
  </w:num>
  <w:num w:numId="46" w16cid:durableId="20684557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17"/>
    <w:rsid w:val="0001558A"/>
    <w:rsid w:val="000206A8"/>
    <w:rsid w:val="0003137A"/>
    <w:rsid w:val="00032E6C"/>
    <w:rsid w:val="00041171"/>
    <w:rsid w:val="00041727"/>
    <w:rsid w:val="0004226F"/>
    <w:rsid w:val="00050F8E"/>
    <w:rsid w:val="000573AD"/>
    <w:rsid w:val="00064F6B"/>
    <w:rsid w:val="00072F17"/>
    <w:rsid w:val="000806D8"/>
    <w:rsid w:val="00082C80"/>
    <w:rsid w:val="00083847"/>
    <w:rsid w:val="00083C36"/>
    <w:rsid w:val="00095E48"/>
    <w:rsid w:val="000A69BF"/>
    <w:rsid w:val="000B4566"/>
    <w:rsid w:val="000C225A"/>
    <w:rsid w:val="000C6781"/>
    <w:rsid w:val="000E4AB7"/>
    <w:rsid w:val="000F5E49"/>
    <w:rsid w:val="000F6DC8"/>
    <w:rsid w:val="000F7A87"/>
    <w:rsid w:val="00105D2E"/>
    <w:rsid w:val="00111BFD"/>
    <w:rsid w:val="001120D8"/>
    <w:rsid w:val="0011498B"/>
    <w:rsid w:val="00120147"/>
    <w:rsid w:val="00123140"/>
    <w:rsid w:val="00123D94"/>
    <w:rsid w:val="001413B4"/>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428A5"/>
    <w:rsid w:val="0025255D"/>
    <w:rsid w:val="0025410E"/>
    <w:rsid w:val="00255EE3"/>
    <w:rsid w:val="00266262"/>
    <w:rsid w:val="00270480"/>
    <w:rsid w:val="002779AF"/>
    <w:rsid w:val="002823D8"/>
    <w:rsid w:val="0028531A"/>
    <w:rsid w:val="00285446"/>
    <w:rsid w:val="00290495"/>
    <w:rsid w:val="00295593"/>
    <w:rsid w:val="002A354F"/>
    <w:rsid w:val="002A386C"/>
    <w:rsid w:val="002B540D"/>
    <w:rsid w:val="002B5925"/>
    <w:rsid w:val="002C05DB"/>
    <w:rsid w:val="002C30BC"/>
    <w:rsid w:val="002C5965"/>
    <w:rsid w:val="002C7A88"/>
    <w:rsid w:val="002C7C87"/>
    <w:rsid w:val="002D232B"/>
    <w:rsid w:val="002D2759"/>
    <w:rsid w:val="002D5E00"/>
    <w:rsid w:val="002D6DAC"/>
    <w:rsid w:val="002E261D"/>
    <w:rsid w:val="002E2CC5"/>
    <w:rsid w:val="002E3FAD"/>
    <w:rsid w:val="002E4E16"/>
    <w:rsid w:val="002E7AF9"/>
    <w:rsid w:val="002F6DAC"/>
    <w:rsid w:val="00301E8C"/>
    <w:rsid w:val="00314D5D"/>
    <w:rsid w:val="00320009"/>
    <w:rsid w:val="0032424A"/>
    <w:rsid w:val="003245D3"/>
    <w:rsid w:val="00330AA3"/>
    <w:rsid w:val="00332049"/>
    <w:rsid w:val="00334987"/>
    <w:rsid w:val="00342E34"/>
    <w:rsid w:val="00355889"/>
    <w:rsid w:val="00362C58"/>
    <w:rsid w:val="00371CF1"/>
    <w:rsid w:val="003750C1"/>
    <w:rsid w:val="00377B5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67E7"/>
    <w:rsid w:val="00475797"/>
    <w:rsid w:val="00481BAB"/>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4A1F"/>
    <w:rsid w:val="00525B80"/>
    <w:rsid w:val="00527225"/>
    <w:rsid w:val="0053098F"/>
    <w:rsid w:val="005343AB"/>
    <w:rsid w:val="00534F2D"/>
    <w:rsid w:val="00536B2E"/>
    <w:rsid w:val="00546D8E"/>
    <w:rsid w:val="00552E7C"/>
    <w:rsid w:val="00553738"/>
    <w:rsid w:val="00571AE1"/>
    <w:rsid w:val="00583D0D"/>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4802"/>
    <w:rsid w:val="00615AB0"/>
    <w:rsid w:val="0061778C"/>
    <w:rsid w:val="00636B90"/>
    <w:rsid w:val="0064738B"/>
    <w:rsid w:val="006508EA"/>
    <w:rsid w:val="00667E86"/>
    <w:rsid w:val="0068392D"/>
    <w:rsid w:val="00697DB5"/>
    <w:rsid w:val="006A1B33"/>
    <w:rsid w:val="006A492A"/>
    <w:rsid w:val="006A7EA6"/>
    <w:rsid w:val="006B124A"/>
    <w:rsid w:val="006B5518"/>
    <w:rsid w:val="006B5C72"/>
    <w:rsid w:val="006D0310"/>
    <w:rsid w:val="006D2009"/>
    <w:rsid w:val="006D5576"/>
    <w:rsid w:val="006E766D"/>
    <w:rsid w:val="006F4B29"/>
    <w:rsid w:val="006F6CE9"/>
    <w:rsid w:val="0070517C"/>
    <w:rsid w:val="00705C9F"/>
    <w:rsid w:val="00716951"/>
    <w:rsid w:val="00716AD3"/>
    <w:rsid w:val="00720F6B"/>
    <w:rsid w:val="00735D9E"/>
    <w:rsid w:val="00745A09"/>
    <w:rsid w:val="00746122"/>
    <w:rsid w:val="00751EAF"/>
    <w:rsid w:val="00753941"/>
    <w:rsid w:val="00754CF7"/>
    <w:rsid w:val="00757B0D"/>
    <w:rsid w:val="00761320"/>
    <w:rsid w:val="007651B1"/>
    <w:rsid w:val="00771A68"/>
    <w:rsid w:val="007744D2"/>
    <w:rsid w:val="007808B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36946"/>
    <w:rsid w:val="00842A4E"/>
    <w:rsid w:val="008451AA"/>
    <w:rsid w:val="00847D99"/>
    <w:rsid w:val="0085038E"/>
    <w:rsid w:val="0086271D"/>
    <w:rsid w:val="0086420B"/>
    <w:rsid w:val="00864DBF"/>
    <w:rsid w:val="00865AE2"/>
    <w:rsid w:val="008664C4"/>
    <w:rsid w:val="008720C9"/>
    <w:rsid w:val="008808A4"/>
    <w:rsid w:val="0089601F"/>
    <w:rsid w:val="008A7313"/>
    <w:rsid w:val="008A7D91"/>
    <w:rsid w:val="008B7FC7"/>
    <w:rsid w:val="008C4337"/>
    <w:rsid w:val="008C4F06"/>
    <w:rsid w:val="008E0A57"/>
    <w:rsid w:val="008E1E4A"/>
    <w:rsid w:val="008E6BF3"/>
    <w:rsid w:val="008F0615"/>
    <w:rsid w:val="008F103E"/>
    <w:rsid w:val="008F1635"/>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9372C"/>
    <w:rsid w:val="009A288C"/>
    <w:rsid w:val="009A52CF"/>
    <w:rsid w:val="009A64C1"/>
    <w:rsid w:val="009B0E83"/>
    <w:rsid w:val="009B5641"/>
    <w:rsid w:val="009B64A2"/>
    <w:rsid w:val="009B6697"/>
    <w:rsid w:val="009C2EA4"/>
    <w:rsid w:val="009C4C04"/>
    <w:rsid w:val="009C582E"/>
    <w:rsid w:val="009F5A1D"/>
    <w:rsid w:val="009F7566"/>
    <w:rsid w:val="009F777B"/>
    <w:rsid w:val="00A06BFE"/>
    <w:rsid w:val="00A10F5D"/>
    <w:rsid w:val="00A1243C"/>
    <w:rsid w:val="00A135AE"/>
    <w:rsid w:val="00A14AF1"/>
    <w:rsid w:val="00A16891"/>
    <w:rsid w:val="00A25AF5"/>
    <w:rsid w:val="00A268CE"/>
    <w:rsid w:val="00A332E8"/>
    <w:rsid w:val="00A35AF5"/>
    <w:rsid w:val="00A35DDF"/>
    <w:rsid w:val="00A36CBA"/>
    <w:rsid w:val="00A41E35"/>
    <w:rsid w:val="00A43CB9"/>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D6D47"/>
    <w:rsid w:val="00AD78A4"/>
    <w:rsid w:val="00AE149A"/>
    <w:rsid w:val="00AF13C2"/>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5896"/>
    <w:rsid w:val="00BA7E19"/>
    <w:rsid w:val="00BB0D32"/>
    <w:rsid w:val="00BC2C42"/>
    <w:rsid w:val="00BC76B5"/>
    <w:rsid w:val="00BD5420"/>
    <w:rsid w:val="00BD5C33"/>
    <w:rsid w:val="00BD7A2E"/>
    <w:rsid w:val="00BE51F3"/>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94097"/>
    <w:rsid w:val="00C96D5B"/>
    <w:rsid w:val="00CA0DF8"/>
    <w:rsid w:val="00CA4269"/>
    <w:rsid w:val="00CA7330"/>
    <w:rsid w:val="00CB1C84"/>
    <w:rsid w:val="00CB294E"/>
    <w:rsid w:val="00CB64F0"/>
    <w:rsid w:val="00CB6BA8"/>
    <w:rsid w:val="00CC2909"/>
    <w:rsid w:val="00CC506C"/>
    <w:rsid w:val="00CD0549"/>
    <w:rsid w:val="00CF40BF"/>
    <w:rsid w:val="00CF47B3"/>
    <w:rsid w:val="00D05E6F"/>
    <w:rsid w:val="00D24F2A"/>
    <w:rsid w:val="00D27929"/>
    <w:rsid w:val="00D33442"/>
    <w:rsid w:val="00D44BAD"/>
    <w:rsid w:val="00D45B55"/>
    <w:rsid w:val="00D52029"/>
    <w:rsid w:val="00D60780"/>
    <w:rsid w:val="00D7097B"/>
    <w:rsid w:val="00D74577"/>
    <w:rsid w:val="00D86A6B"/>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7151C"/>
    <w:rsid w:val="00E802A2"/>
    <w:rsid w:val="00E85C0B"/>
    <w:rsid w:val="00EB13D7"/>
    <w:rsid w:val="00EB1E83"/>
    <w:rsid w:val="00EC0376"/>
    <w:rsid w:val="00EC0421"/>
    <w:rsid w:val="00ED22CB"/>
    <w:rsid w:val="00ED39E7"/>
    <w:rsid w:val="00ED67AF"/>
    <w:rsid w:val="00EE128C"/>
    <w:rsid w:val="00EE2926"/>
    <w:rsid w:val="00EE3A17"/>
    <w:rsid w:val="00EE4C48"/>
    <w:rsid w:val="00EF66D9"/>
    <w:rsid w:val="00EF68E3"/>
    <w:rsid w:val="00EF6BA5"/>
    <w:rsid w:val="00EF780D"/>
    <w:rsid w:val="00EF7A98"/>
    <w:rsid w:val="00F0267E"/>
    <w:rsid w:val="00F11B47"/>
    <w:rsid w:val="00F20EC0"/>
    <w:rsid w:val="00F21ABD"/>
    <w:rsid w:val="00F25D8D"/>
    <w:rsid w:val="00F3781F"/>
    <w:rsid w:val="00F44CCB"/>
    <w:rsid w:val="00F474C9"/>
    <w:rsid w:val="00F5126B"/>
    <w:rsid w:val="00F54EA3"/>
    <w:rsid w:val="00F61675"/>
    <w:rsid w:val="00F62F16"/>
    <w:rsid w:val="00F65B61"/>
    <w:rsid w:val="00F6686B"/>
    <w:rsid w:val="00F67F74"/>
    <w:rsid w:val="00F712B3"/>
    <w:rsid w:val="00F73DE3"/>
    <w:rsid w:val="00F744BF"/>
    <w:rsid w:val="00F77219"/>
    <w:rsid w:val="00F84DD2"/>
    <w:rsid w:val="00FA5165"/>
    <w:rsid w:val="00FB036D"/>
    <w:rsid w:val="00FB0872"/>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EE9840"/>
  <w15:docId w15:val="{F2AD431D-8E70-4983-984E-CF3BBCE3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7855" TargetMode="External"/><Relationship Id="rId18" Type="http://schemas.openxmlformats.org/officeDocument/2006/relationships/hyperlink" Target="https://library.wmo.int/doc_num.php?explnum_id=10075" TargetMode="External"/><Relationship Id="rId26" Type="http://schemas.openxmlformats.org/officeDocument/2006/relationships/hyperlink" Target="https://library.wmo.int/doc_num.php?explnum_id=5178" TargetMode="External"/><Relationship Id="rId3" Type="http://schemas.openxmlformats.org/officeDocument/2006/relationships/customXml" Target="../customXml/item3.xml"/><Relationship Id="rId21" Type="http://schemas.openxmlformats.org/officeDocument/2006/relationships/hyperlink" Target="https://library.wmo.int/doc_num.php?explnum_id=3313" TargetMode="External"/><Relationship Id="rId7" Type="http://schemas.openxmlformats.org/officeDocument/2006/relationships/settings" Target="settings.xml"/><Relationship Id="rId12" Type="http://schemas.openxmlformats.org/officeDocument/2006/relationships/hyperlink" Target="https://library.wmo.int/doc_num.php?explnum_id=5178" TargetMode="External"/><Relationship Id="rId17" Type="http://schemas.openxmlformats.org/officeDocument/2006/relationships/hyperlink" Target="https://library.wmo.int/doc_num.php?explnum_id=5175" TargetMode="External"/><Relationship Id="rId25" Type="http://schemas.openxmlformats.org/officeDocument/2006/relationships/hyperlink" Target="https://library.wmo.int/doc_num.php?explnum_id=7855" TargetMode="External"/><Relationship Id="rId2" Type="http://schemas.openxmlformats.org/officeDocument/2006/relationships/customXml" Target="../customXml/item2.xml"/><Relationship Id="rId16" Type="http://schemas.openxmlformats.org/officeDocument/2006/relationships/hyperlink" Target="https://library.wmo.int/doc_num.php?explnum_id=5742" TargetMode="External"/><Relationship Id="rId20" Type="http://schemas.openxmlformats.org/officeDocument/2006/relationships/hyperlink" Target="https://library.wmo.int/doc_num.php?explnum_id=109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0782" TargetMode="External"/><Relationship Id="rId5" Type="http://schemas.openxmlformats.org/officeDocument/2006/relationships/numbering" Target="numbering.xml"/><Relationship Id="rId15" Type="http://schemas.openxmlformats.org/officeDocument/2006/relationships/hyperlink" Target="https://library.wmo.int/doc_num.php?explnum_id=7855" TargetMode="External"/><Relationship Id="rId23" Type="http://schemas.openxmlformats.org/officeDocument/2006/relationships/hyperlink" Target="https://library.wmo.int/doc_num.php?explnum_id=9847" TargetMode="External"/><Relationship Id="rId28" Type="http://schemas.openxmlformats.org/officeDocument/2006/relationships/hyperlink" Target="https://library.wmo.int/doc_num.php?explnum_id=7855" TargetMode="External"/><Relationship Id="rId10" Type="http://schemas.openxmlformats.org/officeDocument/2006/relationships/endnotes" Target="endnotes.xml"/><Relationship Id="rId19" Type="http://schemas.openxmlformats.org/officeDocument/2006/relationships/hyperlink" Target="https://library.wmo.int/doc_num.php?explnum_id=1116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7854" TargetMode="External"/><Relationship Id="rId22" Type="http://schemas.openxmlformats.org/officeDocument/2006/relationships/hyperlink" Target="https://library.wmo.int/doc_num.php?explnum_id=10811" TargetMode="External"/><Relationship Id="rId27" Type="http://schemas.openxmlformats.org/officeDocument/2006/relationships/hyperlink" Target="https://library.wmo.int/doc_num.php?explnum_id=7855"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es\Desktop\Jobs%20WMO\Cuarto%20job%20WMO\Entregar\SERCOM-2-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3679bf0f-1d7e-438f-afa5-6ebf1e20f9b8"/>
    <ds:schemaRef ds:uri="http://schemas.microsoft.com/office/2006/metadata/properties"/>
    <ds:schemaRef ds:uri="http://schemas.microsoft.com/office/2006/documentManagement/types"/>
    <ds:schemaRef ds:uri="ce21bc6c-711a-4065-a01c-a8f0e29e3ad8"/>
    <ds:schemaRef ds:uri="http://schemas.microsoft.com/office/infopath/2007/PartnerControls"/>
    <ds:schemaRef ds:uri="http://purl.org/dc/term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7929491-444A-4F4A-A515-1A6A56B9F2A3}">
  <ds:schemaRefs>
    <ds:schemaRef ds:uri="http://schemas.openxmlformats.org/officeDocument/2006/bibliography"/>
  </ds:schemaRefs>
</ds:datastoreItem>
</file>

<file path=customXml/itemProps4.xml><?xml version="1.0" encoding="utf-8"?>
<ds:datastoreItem xmlns:ds="http://schemas.openxmlformats.org/officeDocument/2006/customXml" ds:itemID="{44F0A87E-BB96-4400-9641-D55199621F5F}"/>
</file>

<file path=docProps/app.xml><?xml version="1.0" encoding="utf-8"?>
<Properties xmlns="http://schemas.openxmlformats.org/officeDocument/2006/extended-properties" xmlns:vt="http://schemas.openxmlformats.org/officeDocument/2006/docPropsVTypes">
  <Template>SERCOM-2-dxx-Template_es (1)</Template>
  <TotalTime>10</TotalTime>
  <Pages>4</Pages>
  <Words>1733</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11248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Álvaro Illescas</dc:creator>
  <cp:lastModifiedBy>Fabian Rubiolo</cp:lastModifiedBy>
  <cp:revision>6</cp:revision>
  <cp:lastPrinted>2013-03-12T09:27:00Z</cp:lastPrinted>
  <dcterms:created xsi:type="dcterms:W3CDTF">2022-10-10T12:40:00Z</dcterms:created>
  <dcterms:modified xsi:type="dcterms:W3CDTF">2022-10-10T13:09:00Z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